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B34" w:rsidRDefault="00454B34" w:rsidP="000E08FB">
      <w:pPr>
        <w:jc w:val="center"/>
        <w:rPr>
          <w:b/>
          <w:i/>
        </w:rPr>
      </w:pPr>
      <w:r>
        <w:rPr>
          <w:b/>
          <w:i/>
          <w:noProof/>
        </w:rPr>
        <w:drawing>
          <wp:inline distT="0" distB="0" distL="0" distR="0">
            <wp:extent cx="3209925" cy="2647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I_completo.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9925" cy="2647950"/>
                    </a:xfrm>
                    <a:prstGeom prst="rect">
                      <a:avLst/>
                    </a:prstGeom>
                  </pic:spPr>
                </pic:pic>
              </a:graphicData>
            </a:graphic>
          </wp:inline>
        </w:drawing>
      </w:r>
    </w:p>
    <w:p w:rsidR="00454B34" w:rsidRDefault="00454B34" w:rsidP="000E08FB">
      <w:pPr>
        <w:jc w:val="center"/>
        <w:rPr>
          <w:b/>
          <w:i/>
        </w:rPr>
      </w:pPr>
    </w:p>
    <w:p w:rsidR="00454B34" w:rsidRDefault="00454B34" w:rsidP="000E08FB">
      <w:pPr>
        <w:jc w:val="center"/>
        <w:rPr>
          <w:b/>
          <w:i/>
        </w:rPr>
      </w:pPr>
    </w:p>
    <w:p w:rsidR="004F002B" w:rsidRDefault="00454B34" w:rsidP="00454B34">
      <w:pPr>
        <w:spacing w:after="0" w:line="240" w:lineRule="auto"/>
        <w:jc w:val="center"/>
        <w:rPr>
          <w:b/>
          <w:sz w:val="28"/>
          <w:szCs w:val="28"/>
        </w:rPr>
      </w:pPr>
      <w:r w:rsidRPr="00454B34">
        <w:rPr>
          <w:b/>
          <w:sz w:val="28"/>
          <w:szCs w:val="28"/>
        </w:rPr>
        <w:t>La riqualif</w:t>
      </w:r>
      <w:r w:rsidR="004F002B">
        <w:rPr>
          <w:b/>
          <w:sz w:val="28"/>
          <w:szCs w:val="28"/>
        </w:rPr>
        <w:t xml:space="preserve">icazione della spesa pubblica: il ruolo delle Province per la crescita </w:t>
      </w:r>
    </w:p>
    <w:p w:rsidR="00454B34" w:rsidRPr="00454B34" w:rsidRDefault="004F002B" w:rsidP="00454B34">
      <w:pPr>
        <w:spacing w:after="0" w:line="240" w:lineRule="auto"/>
        <w:jc w:val="center"/>
        <w:rPr>
          <w:b/>
          <w:sz w:val="28"/>
          <w:szCs w:val="28"/>
        </w:rPr>
      </w:pPr>
      <w:r>
        <w:rPr>
          <w:b/>
          <w:sz w:val="28"/>
          <w:szCs w:val="28"/>
        </w:rPr>
        <w:t xml:space="preserve">e le </w:t>
      </w:r>
      <w:r w:rsidR="00454B34" w:rsidRPr="00454B34">
        <w:rPr>
          <w:b/>
          <w:sz w:val="28"/>
          <w:szCs w:val="28"/>
        </w:rPr>
        <w:t xml:space="preserve"> proposte dell’Unione delle Province d’Italia</w:t>
      </w:r>
    </w:p>
    <w:p w:rsidR="00454B34" w:rsidRDefault="00454B34" w:rsidP="00454B34">
      <w:pPr>
        <w:spacing w:after="0" w:line="240" w:lineRule="auto"/>
        <w:jc w:val="center"/>
        <w:rPr>
          <w:b/>
          <w:sz w:val="28"/>
          <w:szCs w:val="28"/>
        </w:rPr>
      </w:pPr>
    </w:p>
    <w:p w:rsidR="004F002B" w:rsidRDefault="004F002B" w:rsidP="00454B34">
      <w:pPr>
        <w:spacing w:after="0" w:line="240" w:lineRule="auto"/>
        <w:jc w:val="center"/>
        <w:rPr>
          <w:b/>
          <w:sz w:val="28"/>
          <w:szCs w:val="28"/>
        </w:rPr>
      </w:pPr>
    </w:p>
    <w:p w:rsidR="004F002B" w:rsidRDefault="004F002B" w:rsidP="00454B34">
      <w:pPr>
        <w:spacing w:after="0" w:line="240" w:lineRule="auto"/>
        <w:jc w:val="center"/>
        <w:rPr>
          <w:b/>
          <w:sz w:val="28"/>
          <w:szCs w:val="28"/>
        </w:rPr>
      </w:pPr>
    </w:p>
    <w:p w:rsidR="00454B34" w:rsidRPr="004F002B" w:rsidRDefault="004F002B" w:rsidP="00454B34">
      <w:pPr>
        <w:spacing w:after="0" w:line="240" w:lineRule="auto"/>
        <w:jc w:val="center"/>
        <w:rPr>
          <w:b/>
          <w:i/>
          <w:sz w:val="28"/>
          <w:szCs w:val="28"/>
        </w:rPr>
      </w:pPr>
      <w:r w:rsidRPr="004F002B">
        <w:rPr>
          <w:b/>
          <w:i/>
          <w:sz w:val="28"/>
          <w:szCs w:val="28"/>
        </w:rPr>
        <w:t>Alcuni</w:t>
      </w:r>
      <w:r w:rsidR="00454B34" w:rsidRPr="004F002B">
        <w:rPr>
          <w:b/>
          <w:i/>
          <w:sz w:val="28"/>
          <w:szCs w:val="28"/>
        </w:rPr>
        <w:t xml:space="preserve"> dati economici comparati dei bilanci delle Province</w:t>
      </w:r>
    </w:p>
    <w:p w:rsidR="00454B34" w:rsidRDefault="00454B34" w:rsidP="00454B34">
      <w:pPr>
        <w:spacing w:after="0" w:line="240" w:lineRule="auto"/>
        <w:jc w:val="center"/>
        <w:rPr>
          <w:b/>
          <w:sz w:val="28"/>
          <w:szCs w:val="28"/>
        </w:rPr>
      </w:pPr>
    </w:p>
    <w:p w:rsidR="00454B34" w:rsidRDefault="00454B34" w:rsidP="00454B34">
      <w:pPr>
        <w:spacing w:after="0" w:line="240" w:lineRule="auto"/>
        <w:jc w:val="center"/>
        <w:rPr>
          <w:b/>
          <w:sz w:val="28"/>
          <w:szCs w:val="28"/>
        </w:rPr>
      </w:pPr>
    </w:p>
    <w:p w:rsidR="00454B34" w:rsidRDefault="00454B34" w:rsidP="00454B34">
      <w:pPr>
        <w:spacing w:after="0" w:line="240" w:lineRule="auto"/>
        <w:jc w:val="center"/>
        <w:rPr>
          <w:b/>
          <w:i/>
        </w:rPr>
      </w:pPr>
    </w:p>
    <w:p w:rsidR="00454B34" w:rsidRDefault="00454B34" w:rsidP="00454B34">
      <w:pPr>
        <w:spacing w:after="0" w:line="240" w:lineRule="auto"/>
        <w:jc w:val="center"/>
        <w:rPr>
          <w:b/>
          <w:i/>
        </w:rPr>
      </w:pPr>
    </w:p>
    <w:p w:rsidR="00454B34" w:rsidRDefault="00454B34" w:rsidP="00454B34">
      <w:pPr>
        <w:spacing w:after="0" w:line="240" w:lineRule="auto"/>
        <w:jc w:val="center"/>
        <w:rPr>
          <w:b/>
          <w:i/>
        </w:rPr>
      </w:pPr>
    </w:p>
    <w:p w:rsidR="00454B34" w:rsidRDefault="00454B34" w:rsidP="00454B34">
      <w:pPr>
        <w:spacing w:after="0" w:line="240" w:lineRule="auto"/>
        <w:jc w:val="center"/>
        <w:rPr>
          <w:b/>
          <w:i/>
        </w:rPr>
      </w:pPr>
    </w:p>
    <w:p w:rsidR="00454B34" w:rsidRDefault="00454B34" w:rsidP="00454B34">
      <w:pPr>
        <w:spacing w:after="0" w:line="240" w:lineRule="auto"/>
        <w:jc w:val="center"/>
        <w:rPr>
          <w:b/>
          <w:i/>
        </w:rPr>
      </w:pPr>
    </w:p>
    <w:p w:rsidR="00454B34" w:rsidRDefault="00454B34" w:rsidP="00454B34">
      <w:pPr>
        <w:spacing w:after="0" w:line="240" w:lineRule="auto"/>
        <w:jc w:val="center"/>
        <w:rPr>
          <w:b/>
          <w:i/>
        </w:rPr>
      </w:pPr>
    </w:p>
    <w:p w:rsidR="00454B34" w:rsidRDefault="00454B34" w:rsidP="00454B34">
      <w:pPr>
        <w:spacing w:after="0" w:line="240" w:lineRule="auto"/>
        <w:jc w:val="center"/>
        <w:rPr>
          <w:b/>
          <w:i/>
        </w:rPr>
      </w:pPr>
    </w:p>
    <w:p w:rsidR="00454B34" w:rsidRDefault="00454B34" w:rsidP="00454B34">
      <w:pPr>
        <w:spacing w:after="0" w:line="240" w:lineRule="auto"/>
        <w:jc w:val="center"/>
        <w:rPr>
          <w:b/>
          <w:i/>
        </w:rPr>
      </w:pPr>
    </w:p>
    <w:p w:rsidR="00454B34" w:rsidRDefault="00454B34" w:rsidP="00454B34">
      <w:pPr>
        <w:spacing w:after="0" w:line="240" w:lineRule="auto"/>
        <w:jc w:val="center"/>
        <w:rPr>
          <w:b/>
          <w:i/>
        </w:rPr>
      </w:pPr>
    </w:p>
    <w:p w:rsidR="00454B34" w:rsidRDefault="00454B34" w:rsidP="00454B34">
      <w:pPr>
        <w:spacing w:after="0" w:line="240" w:lineRule="auto"/>
        <w:jc w:val="center"/>
        <w:rPr>
          <w:b/>
          <w:i/>
        </w:rPr>
      </w:pPr>
    </w:p>
    <w:p w:rsidR="00454B34" w:rsidRDefault="00454B34" w:rsidP="00454B34">
      <w:pPr>
        <w:spacing w:after="0" w:line="240" w:lineRule="auto"/>
        <w:jc w:val="center"/>
        <w:rPr>
          <w:b/>
          <w:i/>
        </w:rPr>
      </w:pPr>
    </w:p>
    <w:p w:rsidR="00454B34" w:rsidRDefault="00454B34" w:rsidP="00454B34">
      <w:pPr>
        <w:spacing w:after="0" w:line="240" w:lineRule="auto"/>
        <w:jc w:val="center"/>
        <w:rPr>
          <w:b/>
          <w:i/>
        </w:rPr>
      </w:pPr>
    </w:p>
    <w:p w:rsidR="00454B34" w:rsidRDefault="00454B34" w:rsidP="004F002B">
      <w:pPr>
        <w:jc w:val="center"/>
        <w:rPr>
          <w:b/>
          <w:i/>
        </w:rPr>
      </w:pPr>
      <w:r>
        <w:rPr>
          <w:b/>
          <w:i/>
        </w:rPr>
        <w:t>Roma</w:t>
      </w:r>
      <w:r w:rsidR="004F002B">
        <w:rPr>
          <w:b/>
          <w:i/>
        </w:rPr>
        <w:t xml:space="preserve"> 1 luglio</w:t>
      </w:r>
      <w:r>
        <w:rPr>
          <w:b/>
          <w:i/>
        </w:rPr>
        <w:t xml:space="preserve"> 2013 </w:t>
      </w:r>
      <w:r w:rsidR="00D85FCB">
        <w:rPr>
          <w:b/>
          <w:i/>
        </w:rPr>
        <w:br w:type="page"/>
      </w:r>
      <w:r>
        <w:rPr>
          <w:b/>
          <w:i/>
        </w:rPr>
        <w:lastRenderedPageBreak/>
        <w:t>Premessa</w:t>
      </w:r>
    </w:p>
    <w:p w:rsidR="00454B34" w:rsidRDefault="00454B34" w:rsidP="00454B34">
      <w:pPr>
        <w:jc w:val="both"/>
      </w:pPr>
      <w:r>
        <w:t xml:space="preserve">L’Unione delle Province d’Italia avverte come indispensabile la necessità </w:t>
      </w:r>
      <w:r w:rsidR="004F002B">
        <w:t xml:space="preserve">che le risorse pubbliche </w:t>
      </w:r>
      <w:r w:rsidR="00AF4942">
        <w:t>siano</w:t>
      </w:r>
      <w:r w:rsidR="004F002B">
        <w:t xml:space="preserve"> destinate verso le due grandi priorità del Paese</w:t>
      </w:r>
      <w:r w:rsidRPr="004A57D6">
        <w:rPr>
          <w:b/>
        </w:rPr>
        <w:t>:</w:t>
      </w:r>
      <w:r>
        <w:t xml:space="preserve"> </w:t>
      </w:r>
      <w:r w:rsidRPr="004A57D6">
        <w:rPr>
          <w:b/>
          <w:u w:val="single"/>
        </w:rPr>
        <w:t>la ripresa degli investimenti pubblici e dell’occupazione</w:t>
      </w:r>
      <w:r>
        <w:t>.</w:t>
      </w:r>
      <w:r w:rsidR="004F002B">
        <w:t xml:space="preserve"> In questo senso le Province possono garantire un contributo importante considerata la loro naturale vocazione di livello di governo interme</w:t>
      </w:r>
      <w:r w:rsidR="0033006E">
        <w:t>dio prioritariamente impegnato sul versante della infrastrutturazione del territorio.</w:t>
      </w:r>
    </w:p>
    <w:p w:rsidR="00AF4942" w:rsidRDefault="00454B34" w:rsidP="00AF4942">
      <w:pPr>
        <w:jc w:val="both"/>
      </w:pPr>
      <w:r>
        <w:t xml:space="preserve">Le politiche adottate dai Governi che si sono succeduti negli ultimi anni non hanno prodotto risultati </w:t>
      </w:r>
      <w:r w:rsidR="0033006E">
        <w:t>concreti sul versante dell’</w:t>
      </w:r>
      <w:proofErr w:type="spellStart"/>
      <w:r w:rsidR="0033006E">
        <w:t>efficientamento</w:t>
      </w:r>
      <w:proofErr w:type="spellEnd"/>
      <w:r w:rsidR="0033006E">
        <w:t xml:space="preserve"> della spesa</w:t>
      </w:r>
      <w:r>
        <w:t xml:space="preserve">: l’austerità ha depresso gli investimenti; i tagli sugli enti locali hanno bloccato lo sviluppo locale e reso sempre meno efficienti e universali i servizi essenziali per i cittadini; l’operazione </w:t>
      </w:r>
      <w:r w:rsidR="0033006E">
        <w:t xml:space="preserve">di </w:t>
      </w:r>
      <w:proofErr w:type="spellStart"/>
      <w:r w:rsidR="0033006E">
        <w:t>spending</w:t>
      </w:r>
      <w:proofErr w:type="spellEnd"/>
      <w:r w:rsidR="0033006E">
        <w:t xml:space="preserve"> </w:t>
      </w:r>
      <w:proofErr w:type="spellStart"/>
      <w:r w:rsidR="0033006E">
        <w:t>review</w:t>
      </w:r>
      <w:proofErr w:type="spellEnd"/>
      <w:r w:rsidR="0033006E">
        <w:t xml:space="preserve"> si è rivelata</w:t>
      </w:r>
      <w:r>
        <w:t xml:space="preserve"> in realtà l’ennesimo intervento di tagli lineari, che si sono abbattuti in maniera iniqua sulle diverse istituzioni della Repubblica. </w:t>
      </w:r>
    </w:p>
    <w:p w:rsidR="00AF4942" w:rsidRDefault="00AF4942" w:rsidP="00AF4942">
      <w:pPr>
        <w:jc w:val="both"/>
      </w:pPr>
      <w:r w:rsidRPr="00AF4942">
        <w:rPr>
          <w:rFonts w:cstheme="minorHAnsi"/>
          <w:color w:val="000000"/>
        </w:rPr>
        <w:t xml:space="preserve">Le autonomie territoriali </w:t>
      </w:r>
      <w:r>
        <w:rPr>
          <w:rFonts w:cstheme="minorHAnsi"/>
          <w:color w:val="000000"/>
        </w:rPr>
        <w:t xml:space="preserve"> sono state indicati</w:t>
      </w:r>
      <w:r w:rsidRPr="00AF4942">
        <w:rPr>
          <w:rFonts w:cstheme="minorHAnsi"/>
          <w:color w:val="000000"/>
        </w:rPr>
        <w:t xml:space="preserve"> come  “la spesa” inutile, ridondante, eccessiva, da razionalizzare. </w:t>
      </w:r>
      <w:r w:rsidRPr="00623004">
        <w:rPr>
          <w:rFonts w:cstheme="minorHAnsi"/>
          <w:color w:val="000000"/>
        </w:rPr>
        <w:t>Ovvero, da tagliare</w:t>
      </w:r>
      <w:r w:rsidRPr="00AF4942">
        <w:rPr>
          <w:rFonts w:cstheme="minorHAnsi"/>
          <w:b/>
          <w:color w:val="000000"/>
        </w:rPr>
        <w:t>.</w:t>
      </w:r>
      <w:r w:rsidRPr="00AF4942">
        <w:rPr>
          <w:rFonts w:cstheme="minorHAnsi"/>
          <w:color w:val="000000"/>
        </w:rPr>
        <w:t xml:space="preserve">  Sulle Province poi, ad ogni manovra  economica il contributo richiesto in termini di minori risorse per i bilanci e di vincol</w:t>
      </w:r>
      <w:r w:rsidR="00623004">
        <w:rPr>
          <w:rFonts w:cstheme="minorHAnsi"/>
          <w:color w:val="000000"/>
        </w:rPr>
        <w:t xml:space="preserve">i alla spesa è andato crescendo, </w:t>
      </w:r>
      <w:r w:rsidR="00623004">
        <w:t xml:space="preserve">di fatto impedendo loro </w:t>
      </w:r>
      <w:r>
        <w:t xml:space="preserve">di continuare a produrre quelle politiche di investimento nelle piccole e medie infrastrutture che sono centrali nel sostegno dell’economia locale e quindi dell’imprenditoria. </w:t>
      </w:r>
    </w:p>
    <w:p w:rsidR="00454B34" w:rsidRDefault="00623004" w:rsidP="00454B34">
      <w:pPr>
        <w:jc w:val="both"/>
      </w:pPr>
      <w:r>
        <w:t xml:space="preserve">A mancare è stata, innanzitutto, la necessaria condivisione e concertazione tra tutte le istituzioni locali. </w:t>
      </w:r>
      <w:r w:rsidR="00454B34">
        <w:t xml:space="preserve">Occorre cambiare direzione, </w:t>
      </w:r>
      <w:r w:rsidR="0033006E">
        <w:t xml:space="preserve">prendere atto della sostanziale inefficacia delle politiche fin qui adottate, ed individuare </w:t>
      </w:r>
      <w:r w:rsidR="0033006E" w:rsidRPr="0033006E">
        <w:rPr>
          <w:b/>
        </w:rPr>
        <w:t>nuove modalità di condivisione delle responsabilità tra tutte le amministrazioni pubbliche</w:t>
      </w:r>
      <w:r w:rsidR="0033006E">
        <w:t xml:space="preserve">, affinché si persegua con determinazione </w:t>
      </w:r>
      <w:r w:rsidR="00454B34" w:rsidRPr="0033006E">
        <w:rPr>
          <w:b/>
        </w:rPr>
        <w:t xml:space="preserve">l’obiettivo comune di </w:t>
      </w:r>
      <w:r w:rsidR="00454B34" w:rsidRPr="00623004">
        <w:rPr>
          <w:b/>
          <w:u w:val="single"/>
        </w:rPr>
        <w:t>risparmio e razionalizzazione della spesa</w:t>
      </w:r>
      <w:r w:rsidRPr="00623004">
        <w:rPr>
          <w:b/>
          <w:u w:val="single"/>
        </w:rPr>
        <w:t>:</w:t>
      </w:r>
      <w:r w:rsidRPr="00623004">
        <w:rPr>
          <w:b/>
        </w:rPr>
        <w:t xml:space="preserve"> </w:t>
      </w:r>
      <w:r>
        <w:rPr>
          <w:b/>
        </w:rPr>
        <w:t xml:space="preserve"> </w:t>
      </w:r>
      <w:r w:rsidRPr="00623004">
        <w:rPr>
          <w:b/>
          <w:u w:val="single"/>
        </w:rPr>
        <w:t>senza deprimere lo sviluppo, senza bloccare gli investimenti, senza squalificare i servizi essenziali</w:t>
      </w:r>
      <w:r w:rsidR="00454B34">
        <w:t>.</w:t>
      </w:r>
    </w:p>
    <w:p w:rsidR="00454B34" w:rsidRDefault="00454B34" w:rsidP="00454B34">
      <w:pPr>
        <w:jc w:val="both"/>
      </w:pPr>
      <w:r>
        <w:t>Per questo l’Unione delle Province d’Italia ritiene ormai non più eludibile la necessità di:</w:t>
      </w:r>
    </w:p>
    <w:p w:rsidR="00454B34" w:rsidRDefault="0033006E" w:rsidP="00454B34">
      <w:pPr>
        <w:pStyle w:val="Paragrafoelenco"/>
        <w:numPr>
          <w:ilvl w:val="0"/>
          <w:numId w:val="1"/>
        </w:numPr>
        <w:jc w:val="both"/>
      </w:pPr>
      <w:r>
        <w:t>D</w:t>
      </w:r>
      <w:r w:rsidR="00454B34">
        <w:t xml:space="preserve">are piena attuazione all’istituzione della </w:t>
      </w:r>
      <w:r w:rsidR="00454B34" w:rsidRPr="004C6586">
        <w:rPr>
          <w:b/>
        </w:rPr>
        <w:t>Co</w:t>
      </w:r>
      <w:r w:rsidRPr="004C6586">
        <w:rPr>
          <w:b/>
        </w:rPr>
        <w:t xml:space="preserve">nferenza Permanente per </w:t>
      </w:r>
      <w:r w:rsidR="00C034AC" w:rsidRPr="004C6586">
        <w:rPr>
          <w:b/>
        </w:rPr>
        <w:t>il coordinamento del</w:t>
      </w:r>
      <w:r w:rsidR="00454B34" w:rsidRPr="004C6586">
        <w:rPr>
          <w:b/>
        </w:rPr>
        <w:t>la finanza pubblica</w:t>
      </w:r>
      <w:r w:rsidR="00454B34">
        <w:t>, così da permettere la definizione delle politiche di bilancio attraverso il pieno concorso e la corresponsabilità di Stato, Regioni, Province e Comuni;</w:t>
      </w:r>
    </w:p>
    <w:p w:rsidR="00C034AC" w:rsidRDefault="00C034AC" w:rsidP="00C034AC">
      <w:pPr>
        <w:pStyle w:val="Paragrafoelenco"/>
        <w:jc w:val="both"/>
      </w:pPr>
    </w:p>
    <w:p w:rsidR="00454B34" w:rsidRDefault="00454B34" w:rsidP="00454B34">
      <w:pPr>
        <w:pStyle w:val="Paragrafoelenco"/>
        <w:numPr>
          <w:ilvl w:val="0"/>
          <w:numId w:val="1"/>
        </w:numPr>
        <w:jc w:val="both"/>
      </w:pPr>
      <w:r>
        <w:t xml:space="preserve">ripartire con coraggio e determinazione nell’attuazione delle misure per definire e applicare a tutta la pubblica amministrazione italiana i criteri </w:t>
      </w:r>
      <w:r w:rsidRPr="004C6586">
        <w:rPr>
          <w:b/>
        </w:rPr>
        <w:t>dei costi e dei fabbisogni standard</w:t>
      </w:r>
      <w:r>
        <w:t>.</w:t>
      </w:r>
      <w:r w:rsidR="00C034AC">
        <w:t xml:space="preserve"> Si dovrà necessariamente operare una ricognizione sulle funzioni svolte da ogni amministrazione pubblica per comprendere con chiarezza “chi fa che cosa”, e poi successivamente intervenire sulle politiche di riduzione della spesa pubblica: </w:t>
      </w:r>
      <w:r>
        <w:t xml:space="preserve"> La </w:t>
      </w:r>
      <w:proofErr w:type="spellStart"/>
      <w:r>
        <w:t>spending</w:t>
      </w:r>
      <w:proofErr w:type="spellEnd"/>
      <w:r>
        <w:t xml:space="preserve"> </w:t>
      </w:r>
      <w:proofErr w:type="spellStart"/>
      <w:r>
        <w:t>review</w:t>
      </w:r>
      <w:proofErr w:type="spellEnd"/>
      <w:r>
        <w:t xml:space="preserve"> non ha prodotto alcuna riqualificazione della spesa, perché i criteri adottati sono tali da non andare ad incidere sui veri centri di costi improduttivi. Il sistema dei costi e dei fabbisogni standard, invece, produrrebbe un risparmio generalizzato, assicurando al contempo la qualità dei servizi erogati ai cittadini su tutto il territorio;</w:t>
      </w:r>
    </w:p>
    <w:p w:rsidR="00454B34" w:rsidRDefault="00454B34" w:rsidP="00454B34">
      <w:pPr>
        <w:pStyle w:val="Paragrafoelenco"/>
      </w:pPr>
    </w:p>
    <w:p w:rsidR="00454B34" w:rsidRDefault="00454B34" w:rsidP="00454B34">
      <w:pPr>
        <w:pStyle w:val="Paragrafoelenco"/>
        <w:numPr>
          <w:ilvl w:val="0"/>
          <w:numId w:val="1"/>
        </w:numPr>
        <w:jc w:val="both"/>
      </w:pPr>
      <w:r>
        <w:t xml:space="preserve">avviare un’operazione di </w:t>
      </w:r>
      <w:r w:rsidRPr="004C6586">
        <w:rPr>
          <w:b/>
        </w:rPr>
        <w:t>ricognizione dei bilanci di tutta la PA</w:t>
      </w:r>
      <w:r>
        <w:t xml:space="preserve"> , verificando, attraverso la messa in rete degli strumenti che sono oggi a disposizione (bi</w:t>
      </w:r>
      <w:r w:rsidR="00C034AC">
        <w:t xml:space="preserve">lancio dello stato, banca dati </w:t>
      </w:r>
      <w:proofErr w:type="spellStart"/>
      <w:r w:rsidR="00C034AC">
        <w:t>S</w:t>
      </w:r>
      <w:r>
        <w:t>iope</w:t>
      </w:r>
      <w:proofErr w:type="spellEnd"/>
      <w:r>
        <w:t>, banca dati Istat, banca dati della ragioneria dello Stato, etc..), le sacche di inefficienza e intervenendo direttamente laddove si riscontri un aumento della spesa pubblica che non corrisponda ad aumento di erogazione qualitativa e quant</w:t>
      </w:r>
      <w:r w:rsidR="00C034AC">
        <w:t>itativa</w:t>
      </w:r>
      <w:r>
        <w:t xml:space="preserve"> di servizi </w:t>
      </w:r>
      <w:r w:rsidR="00C034AC">
        <w:t xml:space="preserve">ed infrastrutture </w:t>
      </w:r>
      <w:r>
        <w:t xml:space="preserve">ai cittadini. </w:t>
      </w:r>
      <w:r w:rsidR="00623004">
        <w:t xml:space="preserve"> E’ essenziale a questo scopo perseguire senza indugio </w:t>
      </w:r>
      <w:r w:rsidR="00623004" w:rsidRPr="004C6586">
        <w:rPr>
          <w:b/>
        </w:rPr>
        <w:t>l’armonizzazione dei bilanci pubblici</w:t>
      </w:r>
      <w:r w:rsidR="00623004">
        <w:t xml:space="preserve">, affinché i </w:t>
      </w:r>
      <w:r w:rsidR="00623004">
        <w:lastRenderedPageBreak/>
        <w:t xml:space="preserve">dati di ciascuna istituzione siano immediatamente comparabili e gli obiettivi di trasparenza dei conti e della spesa siano raggiunti. </w:t>
      </w:r>
    </w:p>
    <w:p w:rsidR="00623004" w:rsidRDefault="00623004" w:rsidP="00623004">
      <w:pPr>
        <w:pStyle w:val="Paragrafoelenco"/>
      </w:pPr>
    </w:p>
    <w:p w:rsidR="00623004" w:rsidRDefault="00623004" w:rsidP="00623004">
      <w:pPr>
        <w:jc w:val="both"/>
      </w:pPr>
      <w:r>
        <w:t xml:space="preserve">Quanto alle </w:t>
      </w:r>
      <w:r w:rsidRPr="004C6586">
        <w:rPr>
          <w:b/>
        </w:rPr>
        <w:t>Province</w:t>
      </w:r>
      <w:r>
        <w:t xml:space="preserve">, il contributo alla riqualificazione della spesa pubblica non può essere individuato senza prescindere dalle </w:t>
      </w:r>
      <w:r w:rsidRPr="004C6586">
        <w:rPr>
          <w:b/>
        </w:rPr>
        <w:t>funzioni</w:t>
      </w:r>
      <w:r>
        <w:t xml:space="preserve"> ad esse assegnate e dal quadro della destinazione delle risorse dei  bilanci a favore degli investimenti e dei servizi ai cittadini.</w:t>
      </w:r>
    </w:p>
    <w:p w:rsidR="00623004" w:rsidRDefault="00623004" w:rsidP="00623004">
      <w:pPr>
        <w:jc w:val="both"/>
      </w:pPr>
      <w:r>
        <w:t>A questo scopo, rispetto al 2012</w:t>
      </w:r>
      <w:r w:rsidR="00386C29">
        <w:t xml:space="preserve">, secondo quanto riportato nella banca dati </w:t>
      </w:r>
      <w:proofErr w:type="spellStart"/>
      <w:r w:rsidR="00386C29">
        <w:t>Siope</w:t>
      </w:r>
      <w:proofErr w:type="spellEnd"/>
      <w:r w:rsidR="00386C29">
        <w:t xml:space="preserve">, </w:t>
      </w:r>
      <w:r w:rsidRPr="004C6586">
        <w:rPr>
          <w:b/>
        </w:rPr>
        <w:t>le principali voci di spesa delle Province</w:t>
      </w:r>
      <w:r w:rsidR="004C6586" w:rsidRPr="004C6586">
        <w:rPr>
          <w:b/>
        </w:rPr>
        <w:t xml:space="preserve"> per investimenti, sviluppo locale e servizi essenziali ai cittadini</w:t>
      </w:r>
      <w:r>
        <w:t xml:space="preserve"> sono state le seguenti: </w:t>
      </w:r>
    </w:p>
    <w:p w:rsidR="00386C29" w:rsidRDefault="00386C29" w:rsidP="00386C29">
      <w:pPr>
        <w:ind w:left="360"/>
        <w:jc w:val="both"/>
      </w:pPr>
      <w:r>
        <w:t>•</w:t>
      </w:r>
      <w:r w:rsidRPr="00875FAD">
        <w:rPr>
          <w:b/>
        </w:rPr>
        <w:t>Edilizia scolastica</w:t>
      </w:r>
      <w:r>
        <w:t xml:space="preserve">, </w:t>
      </w:r>
      <w:r w:rsidR="004C6586">
        <w:t xml:space="preserve">manutenzione, messa in sicurezza, costruzione di nuovi edifici, </w:t>
      </w:r>
      <w:r>
        <w:t>formazione professionale: 1 miliardo e 911 milioni.</w:t>
      </w:r>
    </w:p>
    <w:p w:rsidR="00386C29" w:rsidRDefault="00386C29" w:rsidP="00386C29">
      <w:pPr>
        <w:ind w:left="360"/>
        <w:jc w:val="both"/>
      </w:pPr>
      <w:r>
        <w:t>•</w:t>
      </w:r>
      <w:r w:rsidRPr="00875FAD">
        <w:rPr>
          <w:b/>
        </w:rPr>
        <w:t>Mobilità, Trasporti</w:t>
      </w:r>
      <w:r>
        <w:t>: 1 miliardo 274 milioni.</w:t>
      </w:r>
    </w:p>
    <w:p w:rsidR="00386C29" w:rsidRDefault="00386C29" w:rsidP="00386C29">
      <w:pPr>
        <w:ind w:left="360"/>
        <w:jc w:val="both"/>
      </w:pPr>
      <w:r>
        <w:t>•</w:t>
      </w:r>
      <w:r w:rsidRPr="00875FAD">
        <w:rPr>
          <w:b/>
        </w:rPr>
        <w:t>Gestione del territorio, urbanistica e viabilità</w:t>
      </w:r>
      <w:r>
        <w:t>: 1 miliardo 744 milioni.</w:t>
      </w:r>
    </w:p>
    <w:p w:rsidR="00386C29" w:rsidRDefault="00386C29" w:rsidP="00386C29">
      <w:pPr>
        <w:ind w:left="360"/>
        <w:jc w:val="both"/>
      </w:pPr>
      <w:r>
        <w:t>•</w:t>
      </w:r>
      <w:r w:rsidRPr="00875FAD">
        <w:rPr>
          <w:b/>
        </w:rPr>
        <w:t>Tutela ambientale</w:t>
      </w:r>
      <w:r>
        <w:t>: 989 milioni.</w:t>
      </w:r>
    </w:p>
    <w:p w:rsidR="00386C29" w:rsidRDefault="00386C29" w:rsidP="00386C29">
      <w:pPr>
        <w:ind w:left="360"/>
        <w:jc w:val="both"/>
      </w:pPr>
      <w:r>
        <w:t>•</w:t>
      </w:r>
      <w:r w:rsidRPr="00875FAD">
        <w:rPr>
          <w:b/>
        </w:rPr>
        <w:t>Sviluppo economico - Servizi per il mercato del lavoro</w:t>
      </w:r>
      <w:r>
        <w:t>: 953 milioni.</w:t>
      </w:r>
    </w:p>
    <w:p w:rsidR="00454B34" w:rsidRDefault="00454B34">
      <w:pPr>
        <w:rPr>
          <w:b/>
          <w:i/>
        </w:rPr>
      </w:pPr>
      <w:r>
        <w:rPr>
          <w:b/>
          <w:i/>
        </w:rPr>
        <w:br w:type="page"/>
      </w:r>
    </w:p>
    <w:p w:rsidR="00454B34" w:rsidRPr="00454B34" w:rsidRDefault="00454B34" w:rsidP="00454B34">
      <w:pPr>
        <w:jc w:val="center"/>
        <w:rPr>
          <w:b/>
          <w:i/>
          <w:sz w:val="24"/>
          <w:szCs w:val="24"/>
        </w:rPr>
      </w:pPr>
      <w:r w:rsidRPr="00454B34">
        <w:rPr>
          <w:b/>
          <w:i/>
          <w:sz w:val="24"/>
          <w:szCs w:val="24"/>
        </w:rPr>
        <w:lastRenderedPageBreak/>
        <w:t>La situazione delle Province. Bilanci e comparazione</w:t>
      </w:r>
    </w:p>
    <w:p w:rsidR="00270281" w:rsidRDefault="00270281">
      <w:pPr>
        <w:rPr>
          <w:b/>
          <w:i/>
        </w:rPr>
      </w:pPr>
    </w:p>
    <w:p w:rsidR="00454B34" w:rsidRPr="004C6586" w:rsidRDefault="00454B34" w:rsidP="00454B34">
      <w:pPr>
        <w:pStyle w:val="Paragrafoelenco"/>
        <w:numPr>
          <w:ilvl w:val="0"/>
          <w:numId w:val="2"/>
        </w:numPr>
        <w:rPr>
          <w:b/>
          <w:i/>
        </w:rPr>
      </w:pPr>
      <w:r w:rsidRPr="004C6586">
        <w:rPr>
          <w:b/>
          <w:i/>
        </w:rPr>
        <w:t>LA DINAMICA DELLA SPESA DELLE PROVINCE</w:t>
      </w:r>
    </w:p>
    <w:p w:rsidR="00C034AC" w:rsidRDefault="00C034AC" w:rsidP="00270281">
      <w:pPr>
        <w:spacing w:after="0"/>
        <w:jc w:val="both"/>
        <w:rPr>
          <w:b/>
          <w:sz w:val="24"/>
          <w:szCs w:val="24"/>
        </w:rPr>
      </w:pPr>
      <w:r>
        <w:t xml:space="preserve">Le Province hanno mostrato un estremo rigore sul versante </w:t>
      </w:r>
      <w:r w:rsidRPr="00C034AC">
        <w:rPr>
          <w:b/>
        </w:rPr>
        <w:t>delle spese correnti,</w:t>
      </w:r>
      <w:r>
        <w:t xml:space="preserve"> soprattutto se confrontate con le performance degli altri livelli di governo locale: </w:t>
      </w:r>
      <w:r w:rsidR="00270281">
        <w:t xml:space="preserve">sono i dati a </w:t>
      </w:r>
      <w:r>
        <w:t>rivela</w:t>
      </w:r>
      <w:r w:rsidR="00270281">
        <w:t>re l</w:t>
      </w:r>
      <w:r>
        <w:t xml:space="preserve">a virtuosità e </w:t>
      </w:r>
      <w:r w:rsidR="00270281">
        <w:t xml:space="preserve">a </w:t>
      </w:r>
      <w:r>
        <w:t>dimostra</w:t>
      </w:r>
      <w:r w:rsidR="00270281">
        <w:t>re</w:t>
      </w:r>
      <w:r>
        <w:t xml:space="preserve"> come ci sia stata una particolare attenzione e responsabilità nel contribuire alle politiche nazionali di risanamento della finanza pubblica, ma soprattutto per non appesantire ulteriormente la contrazione degli investimenti, già fortemente segnati, come si vedrà dopo, dal patto di stabilità. </w:t>
      </w:r>
      <w:r w:rsidR="00270281">
        <w:t xml:space="preserve">Rispetto alla spesa corrente, infatti, come indicato nella </w:t>
      </w:r>
      <w:r w:rsidR="004C6586">
        <w:t>tabella che segue</w:t>
      </w:r>
      <w:r w:rsidR="00270281">
        <w:t>, l</w:t>
      </w:r>
      <w:r>
        <w:t xml:space="preserve">e Province segnano una diminuzione di </w:t>
      </w:r>
      <w:r w:rsidR="00270281">
        <w:rPr>
          <w:b/>
          <w:sz w:val="24"/>
          <w:szCs w:val="24"/>
        </w:rPr>
        <w:t xml:space="preserve">– 11%, </w:t>
      </w:r>
      <w:r w:rsidR="00270281" w:rsidRPr="00270281">
        <w:rPr>
          <w:b/>
        </w:rPr>
        <w:t>a fronte di un aumento del 7% da parte dei Comuni e di una riduzione di appena il 2% da parte delle Regioni</w:t>
      </w:r>
      <w:r w:rsidR="00270281">
        <w:rPr>
          <w:b/>
          <w:sz w:val="24"/>
          <w:szCs w:val="24"/>
        </w:rPr>
        <w:t xml:space="preserve">. </w:t>
      </w:r>
    </w:p>
    <w:p w:rsidR="00270281" w:rsidRPr="00C034AC" w:rsidRDefault="00270281" w:rsidP="00270281">
      <w:pPr>
        <w:spacing w:after="0"/>
        <w:jc w:val="both"/>
        <w:rPr>
          <w:b/>
          <w:sz w:val="24"/>
          <w:szCs w:val="24"/>
        </w:rPr>
      </w:pPr>
    </w:p>
    <w:p w:rsidR="00454B34" w:rsidRDefault="00C034AC" w:rsidP="00454B34">
      <w:pPr>
        <w:jc w:val="both"/>
      </w:pPr>
      <w:r>
        <w:t xml:space="preserve">Come sopra accennato, </w:t>
      </w:r>
      <w:r w:rsidR="00454B34">
        <w:t>l’ultimo quinquennio segna una profonda contrazione</w:t>
      </w:r>
      <w:r>
        <w:t xml:space="preserve"> della</w:t>
      </w:r>
      <w:r w:rsidR="00454B34">
        <w:t xml:space="preserve"> </w:t>
      </w:r>
      <w:r w:rsidR="00454B34" w:rsidRPr="00454B34">
        <w:rPr>
          <w:b/>
        </w:rPr>
        <w:t>spesa per investimenti</w:t>
      </w:r>
      <w:r w:rsidR="00454B34">
        <w:t xml:space="preserve">, la cui dinamica è profondamente influenzata dalle regole del patto di stabilità interno. Il calo dal 2008 al 2012 supera il </w:t>
      </w:r>
      <w:r w:rsidR="00454B34" w:rsidRPr="00454B34">
        <w:rPr>
          <w:b/>
          <w:sz w:val="24"/>
          <w:szCs w:val="24"/>
        </w:rPr>
        <w:t>-44%.</w:t>
      </w:r>
      <w:r w:rsidR="00454B34">
        <w:t xml:space="preserve"> </w:t>
      </w:r>
    </w:p>
    <w:p w:rsidR="00270281" w:rsidRDefault="00270281" w:rsidP="00454B34">
      <w:pPr>
        <w:jc w:val="both"/>
        <w:rPr>
          <w:b/>
        </w:rPr>
      </w:pPr>
      <w:r>
        <w:rPr>
          <w:b/>
        </w:rPr>
        <w:t xml:space="preserve">Nel complesso, la spesa delle Province dal 2008 al 2012 è scesa di oltre il 21%, contro il 4% di Regioni e Comuni. </w:t>
      </w:r>
    </w:p>
    <w:tbl>
      <w:tblPr>
        <w:tblStyle w:val="Grigliatabella"/>
        <w:tblW w:w="0" w:type="auto"/>
        <w:tblLook w:val="04A0" w:firstRow="1" w:lastRow="0" w:firstColumn="1" w:lastColumn="0" w:noHBand="0" w:noVBand="1"/>
      </w:tblPr>
      <w:tblGrid>
        <w:gridCol w:w="2518"/>
        <w:gridCol w:w="2552"/>
        <w:gridCol w:w="2409"/>
        <w:gridCol w:w="1985"/>
      </w:tblGrid>
      <w:tr w:rsidR="00270281" w:rsidRPr="00280C67" w:rsidTr="00270281">
        <w:trPr>
          <w:trHeight w:val="300"/>
        </w:trPr>
        <w:tc>
          <w:tcPr>
            <w:tcW w:w="2518" w:type="dxa"/>
            <w:noWrap/>
            <w:hideMark/>
          </w:tcPr>
          <w:p w:rsidR="00270281" w:rsidRPr="00280C67" w:rsidRDefault="00270281" w:rsidP="000E49B0">
            <w:pPr>
              <w:rPr>
                <w:i/>
                <w:iCs/>
              </w:rPr>
            </w:pPr>
            <w:r w:rsidRPr="00280C67">
              <w:rPr>
                <w:i/>
                <w:iCs/>
              </w:rPr>
              <w:t>CORRENTE</w:t>
            </w:r>
          </w:p>
        </w:tc>
        <w:tc>
          <w:tcPr>
            <w:tcW w:w="2552" w:type="dxa"/>
            <w:noWrap/>
            <w:hideMark/>
          </w:tcPr>
          <w:p w:rsidR="00270281" w:rsidRPr="00280C67" w:rsidRDefault="00270281" w:rsidP="000E49B0">
            <w:pPr>
              <w:jc w:val="center"/>
            </w:pPr>
            <w:r w:rsidRPr="00280C67">
              <w:t>2008</w:t>
            </w:r>
          </w:p>
        </w:tc>
        <w:tc>
          <w:tcPr>
            <w:tcW w:w="2409" w:type="dxa"/>
            <w:noWrap/>
            <w:hideMark/>
          </w:tcPr>
          <w:p w:rsidR="00270281" w:rsidRPr="00280C67" w:rsidRDefault="00270281" w:rsidP="000E49B0">
            <w:pPr>
              <w:jc w:val="center"/>
            </w:pPr>
            <w:r w:rsidRPr="00280C67">
              <w:t>2012</w:t>
            </w:r>
          </w:p>
        </w:tc>
        <w:tc>
          <w:tcPr>
            <w:tcW w:w="1985" w:type="dxa"/>
            <w:noWrap/>
            <w:hideMark/>
          </w:tcPr>
          <w:p w:rsidR="00270281" w:rsidRPr="00280C67" w:rsidRDefault="00270281" w:rsidP="000E49B0">
            <w:pPr>
              <w:rPr>
                <w:b/>
                <w:bCs/>
                <w:i/>
                <w:iCs/>
              </w:rPr>
            </w:pPr>
            <w:r w:rsidRPr="00280C67">
              <w:rPr>
                <w:b/>
                <w:bCs/>
                <w:i/>
                <w:iCs/>
              </w:rPr>
              <w:t xml:space="preserve">variazione </w:t>
            </w:r>
            <w:r>
              <w:rPr>
                <w:b/>
                <w:bCs/>
                <w:i/>
                <w:iCs/>
              </w:rPr>
              <w:t>%</w:t>
            </w:r>
          </w:p>
        </w:tc>
      </w:tr>
      <w:tr w:rsidR="00270281" w:rsidRPr="00280C67" w:rsidTr="00270281">
        <w:trPr>
          <w:trHeight w:val="300"/>
        </w:trPr>
        <w:tc>
          <w:tcPr>
            <w:tcW w:w="2518" w:type="dxa"/>
            <w:noWrap/>
            <w:hideMark/>
          </w:tcPr>
          <w:p w:rsidR="00270281" w:rsidRPr="00280C67" w:rsidRDefault="00270281" w:rsidP="000E49B0">
            <w:r w:rsidRPr="00280C67">
              <w:t>PROVINCE</w:t>
            </w:r>
          </w:p>
        </w:tc>
        <w:tc>
          <w:tcPr>
            <w:tcW w:w="2552" w:type="dxa"/>
            <w:noWrap/>
            <w:hideMark/>
          </w:tcPr>
          <w:p w:rsidR="00270281" w:rsidRPr="00280C67" w:rsidRDefault="00270281" w:rsidP="000E49B0">
            <w:pPr>
              <w:jc w:val="right"/>
              <w:rPr>
                <w:b/>
                <w:bCs/>
              </w:rPr>
            </w:pPr>
            <w:r w:rsidRPr="00280C67">
              <w:rPr>
                <w:b/>
                <w:bCs/>
              </w:rPr>
              <w:t>9.032.212.361,69</w:t>
            </w:r>
          </w:p>
        </w:tc>
        <w:tc>
          <w:tcPr>
            <w:tcW w:w="2409" w:type="dxa"/>
            <w:noWrap/>
            <w:hideMark/>
          </w:tcPr>
          <w:p w:rsidR="00270281" w:rsidRPr="00280C67" w:rsidRDefault="00270281" w:rsidP="000E49B0">
            <w:pPr>
              <w:jc w:val="right"/>
              <w:rPr>
                <w:b/>
                <w:bCs/>
              </w:rPr>
            </w:pPr>
            <w:r w:rsidRPr="00280C67">
              <w:rPr>
                <w:b/>
                <w:bCs/>
              </w:rPr>
              <w:t>7.986.644.434,00</w:t>
            </w:r>
          </w:p>
        </w:tc>
        <w:tc>
          <w:tcPr>
            <w:tcW w:w="1985" w:type="dxa"/>
            <w:noWrap/>
            <w:hideMark/>
          </w:tcPr>
          <w:p w:rsidR="00270281" w:rsidRPr="00280C67" w:rsidRDefault="00270281" w:rsidP="000E49B0">
            <w:pPr>
              <w:rPr>
                <w:b/>
                <w:bCs/>
                <w:i/>
                <w:iCs/>
              </w:rPr>
            </w:pPr>
            <w:r w:rsidRPr="00280C67">
              <w:rPr>
                <w:b/>
                <w:bCs/>
                <w:i/>
                <w:iCs/>
              </w:rPr>
              <w:t>-11,58</w:t>
            </w:r>
          </w:p>
        </w:tc>
      </w:tr>
      <w:tr w:rsidR="00270281" w:rsidRPr="00280C67" w:rsidTr="00270281">
        <w:trPr>
          <w:trHeight w:val="300"/>
        </w:trPr>
        <w:tc>
          <w:tcPr>
            <w:tcW w:w="2518" w:type="dxa"/>
            <w:tcBorders>
              <w:bottom w:val="single" w:sz="4" w:space="0" w:color="auto"/>
            </w:tcBorders>
            <w:noWrap/>
            <w:hideMark/>
          </w:tcPr>
          <w:p w:rsidR="00270281" w:rsidRPr="00280C67" w:rsidRDefault="00270281" w:rsidP="000E49B0">
            <w:r w:rsidRPr="00280C67">
              <w:t>COMUNI</w:t>
            </w:r>
          </w:p>
        </w:tc>
        <w:tc>
          <w:tcPr>
            <w:tcW w:w="2552" w:type="dxa"/>
            <w:tcBorders>
              <w:bottom w:val="single" w:sz="4" w:space="0" w:color="auto"/>
            </w:tcBorders>
            <w:noWrap/>
            <w:hideMark/>
          </w:tcPr>
          <w:p w:rsidR="00270281" w:rsidRPr="00280C67" w:rsidRDefault="00270281" w:rsidP="000E49B0">
            <w:pPr>
              <w:jc w:val="right"/>
              <w:rPr>
                <w:b/>
                <w:bCs/>
              </w:rPr>
            </w:pPr>
            <w:r w:rsidRPr="00280C67">
              <w:rPr>
                <w:b/>
                <w:bCs/>
              </w:rPr>
              <w:t>47.881.399.492,37</w:t>
            </w:r>
          </w:p>
        </w:tc>
        <w:tc>
          <w:tcPr>
            <w:tcW w:w="2409" w:type="dxa"/>
            <w:tcBorders>
              <w:bottom w:val="single" w:sz="4" w:space="0" w:color="auto"/>
            </w:tcBorders>
            <w:noWrap/>
            <w:hideMark/>
          </w:tcPr>
          <w:p w:rsidR="00270281" w:rsidRPr="00280C67" w:rsidRDefault="00270281" w:rsidP="000E49B0">
            <w:pPr>
              <w:jc w:val="right"/>
              <w:rPr>
                <w:b/>
                <w:bCs/>
              </w:rPr>
            </w:pPr>
            <w:r w:rsidRPr="00280C67">
              <w:rPr>
                <w:b/>
                <w:bCs/>
              </w:rPr>
              <w:t>51.309.605.242,61</w:t>
            </w:r>
          </w:p>
        </w:tc>
        <w:tc>
          <w:tcPr>
            <w:tcW w:w="1985" w:type="dxa"/>
            <w:tcBorders>
              <w:bottom w:val="single" w:sz="4" w:space="0" w:color="auto"/>
            </w:tcBorders>
            <w:noWrap/>
            <w:hideMark/>
          </w:tcPr>
          <w:p w:rsidR="00270281" w:rsidRPr="00280C67" w:rsidRDefault="00270281" w:rsidP="000E49B0">
            <w:pPr>
              <w:rPr>
                <w:b/>
                <w:bCs/>
                <w:i/>
                <w:iCs/>
              </w:rPr>
            </w:pPr>
            <w:r w:rsidRPr="00280C67">
              <w:rPr>
                <w:b/>
                <w:bCs/>
                <w:i/>
                <w:iCs/>
              </w:rPr>
              <w:t>7,16</w:t>
            </w:r>
          </w:p>
        </w:tc>
      </w:tr>
      <w:tr w:rsidR="00270281" w:rsidRPr="00280C67" w:rsidTr="00270281">
        <w:trPr>
          <w:trHeight w:val="300"/>
        </w:trPr>
        <w:tc>
          <w:tcPr>
            <w:tcW w:w="2518" w:type="dxa"/>
            <w:tcBorders>
              <w:bottom w:val="single" w:sz="4" w:space="0" w:color="auto"/>
            </w:tcBorders>
            <w:noWrap/>
            <w:hideMark/>
          </w:tcPr>
          <w:p w:rsidR="00270281" w:rsidRPr="00280C67" w:rsidRDefault="00270281" w:rsidP="000E49B0">
            <w:r w:rsidRPr="00280C67">
              <w:t>REGIONI</w:t>
            </w:r>
          </w:p>
        </w:tc>
        <w:tc>
          <w:tcPr>
            <w:tcW w:w="2552" w:type="dxa"/>
            <w:tcBorders>
              <w:bottom w:val="single" w:sz="4" w:space="0" w:color="auto"/>
            </w:tcBorders>
            <w:noWrap/>
            <w:hideMark/>
          </w:tcPr>
          <w:p w:rsidR="00270281" w:rsidRPr="00280C67" w:rsidRDefault="00270281" w:rsidP="000E49B0">
            <w:pPr>
              <w:jc w:val="right"/>
              <w:rPr>
                <w:b/>
                <w:bCs/>
              </w:rPr>
            </w:pPr>
            <w:r w:rsidRPr="00280C67">
              <w:rPr>
                <w:b/>
                <w:bCs/>
              </w:rPr>
              <w:t>149.427.672.341,69</w:t>
            </w:r>
          </w:p>
        </w:tc>
        <w:tc>
          <w:tcPr>
            <w:tcW w:w="2409" w:type="dxa"/>
            <w:tcBorders>
              <w:bottom w:val="single" w:sz="4" w:space="0" w:color="auto"/>
            </w:tcBorders>
            <w:noWrap/>
            <w:hideMark/>
          </w:tcPr>
          <w:p w:rsidR="00270281" w:rsidRPr="00280C67" w:rsidRDefault="00270281" w:rsidP="000E49B0">
            <w:pPr>
              <w:jc w:val="right"/>
              <w:rPr>
                <w:b/>
                <w:bCs/>
              </w:rPr>
            </w:pPr>
            <w:r w:rsidRPr="00280C67">
              <w:rPr>
                <w:b/>
                <w:bCs/>
              </w:rPr>
              <w:t>145.489.500.227,98</w:t>
            </w:r>
          </w:p>
        </w:tc>
        <w:tc>
          <w:tcPr>
            <w:tcW w:w="1985" w:type="dxa"/>
            <w:tcBorders>
              <w:bottom w:val="single" w:sz="4" w:space="0" w:color="auto"/>
            </w:tcBorders>
            <w:noWrap/>
            <w:hideMark/>
          </w:tcPr>
          <w:p w:rsidR="00270281" w:rsidRPr="00280C67" w:rsidRDefault="00270281" w:rsidP="000E49B0">
            <w:pPr>
              <w:rPr>
                <w:b/>
                <w:bCs/>
                <w:i/>
                <w:iCs/>
              </w:rPr>
            </w:pPr>
            <w:r w:rsidRPr="00280C67">
              <w:rPr>
                <w:b/>
                <w:bCs/>
                <w:i/>
                <w:iCs/>
              </w:rPr>
              <w:t>-2,64</w:t>
            </w:r>
          </w:p>
        </w:tc>
      </w:tr>
      <w:tr w:rsidR="00270281" w:rsidRPr="00280C67" w:rsidTr="00270281">
        <w:trPr>
          <w:trHeight w:val="300"/>
        </w:trPr>
        <w:tc>
          <w:tcPr>
            <w:tcW w:w="2518" w:type="dxa"/>
            <w:tcBorders>
              <w:top w:val="single" w:sz="4" w:space="0" w:color="auto"/>
              <w:left w:val="nil"/>
              <w:bottom w:val="single" w:sz="4" w:space="0" w:color="auto"/>
              <w:right w:val="nil"/>
            </w:tcBorders>
            <w:noWrap/>
            <w:hideMark/>
          </w:tcPr>
          <w:p w:rsidR="00270281" w:rsidRPr="00280C67" w:rsidRDefault="00270281" w:rsidP="000E49B0"/>
        </w:tc>
        <w:tc>
          <w:tcPr>
            <w:tcW w:w="2552" w:type="dxa"/>
            <w:tcBorders>
              <w:top w:val="single" w:sz="4" w:space="0" w:color="auto"/>
              <w:left w:val="nil"/>
              <w:bottom w:val="single" w:sz="4" w:space="0" w:color="auto"/>
              <w:right w:val="nil"/>
            </w:tcBorders>
            <w:noWrap/>
            <w:hideMark/>
          </w:tcPr>
          <w:p w:rsidR="00270281" w:rsidRPr="00280C67" w:rsidRDefault="00270281" w:rsidP="000E49B0">
            <w:pPr>
              <w:jc w:val="right"/>
            </w:pPr>
          </w:p>
        </w:tc>
        <w:tc>
          <w:tcPr>
            <w:tcW w:w="2409" w:type="dxa"/>
            <w:tcBorders>
              <w:top w:val="single" w:sz="4" w:space="0" w:color="auto"/>
              <w:left w:val="nil"/>
              <w:bottom w:val="single" w:sz="4" w:space="0" w:color="auto"/>
              <w:right w:val="nil"/>
            </w:tcBorders>
            <w:noWrap/>
            <w:hideMark/>
          </w:tcPr>
          <w:p w:rsidR="00270281" w:rsidRPr="00280C67" w:rsidRDefault="00270281" w:rsidP="000E49B0">
            <w:pPr>
              <w:jc w:val="right"/>
            </w:pPr>
          </w:p>
        </w:tc>
        <w:tc>
          <w:tcPr>
            <w:tcW w:w="1985" w:type="dxa"/>
            <w:tcBorders>
              <w:top w:val="single" w:sz="4" w:space="0" w:color="auto"/>
              <w:left w:val="nil"/>
              <w:bottom w:val="single" w:sz="4" w:space="0" w:color="auto"/>
              <w:right w:val="nil"/>
            </w:tcBorders>
            <w:noWrap/>
            <w:hideMark/>
          </w:tcPr>
          <w:p w:rsidR="00270281" w:rsidRPr="00280C67" w:rsidRDefault="00270281" w:rsidP="000E49B0">
            <w:pPr>
              <w:rPr>
                <w:b/>
                <w:bCs/>
                <w:i/>
                <w:iCs/>
              </w:rPr>
            </w:pPr>
          </w:p>
        </w:tc>
      </w:tr>
      <w:tr w:rsidR="00270281" w:rsidRPr="00280C67" w:rsidTr="00270281">
        <w:trPr>
          <w:trHeight w:val="380"/>
        </w:trPr>
        <w:tc>
          <w:tcPr>
            <w:tcW w:w="2518" w:type="dxa"/>
            <w:tcBorders>
              <w:top w:val="single" w:sz="4" w:space="0" w:color="auto"/>
            </w:tcBorders>
            <w:noWrap/>
            <w:hideMark/>
          </w:tcPr>
          <w:p w:rsidR="00270281" w:rsidRPr="00280C67" w:rsidRDefault="00270281" w:rsidP="000E49B0">
            <w:pPr>
              <w:rPr>
                <w:i/>
                <w:iCs/>
              </w:rPr>
            </w:pPr>
            <w:r w:rsidRPr="00280C67">
              <w:rPr>
                <w:i/>
                <w:iCs/>
              </w:rPr>
              <w:t>C/CAPITALE</w:t>
            </w:r>
          </w:p>
        </w:tc>
        <w:tc>
          <w:tcPr>
            <w:tcW w:w="2552" w:type="dxa"/>
            <w:tcBorders>
              <w:top w:val="single" w:sz="4" w:space="0" w:color="auto"/>
            </w:tcBorders>
            <w:noWrap/>
            <w:hideMark/>
          </w:tcPr>
          <w:p w:rsidR="00270281" w:rsidRPr="00280C67" w:rsidRDefault="00270281" w:rsidP="000E49B0">
            <w:pPr>
              <w:jc w:val="center"/>
            </w:pPr>
            <w:r w:rsidRPr="00280C67">
              <w:t>2008</w:t>
            </w:r>
          </w:p>
        </w:tc>
        <w:tc>
          <w:tcPr>
            <w:tcW w:w="2409" w:type="dxa"/>
            <w:tcBorders>
              <w:top w:val="single" w:sz="4" w:space="0" w:color="auto"/>
            </w:tcBorders>
            <w:noWrap/>
            <w:hideMark/>
          </w:tcPr>
          <w:p w:rsidR="00270281" w:rsidRPr="00280C67" w:rsidRDefault="00270281" w:rsidP="000E49B0">
            <w:pPr>
              <w:jc w:val="center"/>
            </w:pPr>
            <w:r w:rsidRPr="00280C67">
              <w:t>2012</w:t>
            </w:r>
          </w:p>
        </w:tc>
        <w:tc>
          <w:tcPr>
            <w:tcW w:w="1985" w:type="dxa"/>
            <w:tcBorders>
              <w:top w:val="single" w:sz="4" w:space="0" w:color="auto"/>
            </w:tcBorders>
            <w:noWrap/>
            <w:hideMark/>
          </w:tcPr>
          <w:p w:rsidR="00270281" w:rsidRPr="00280C67" w:rsidRDefault="00270281" w:rsidP="000E49B0">
            <w:pPr>
              <w:rPr>
                <w:b/>
                <w:bCs/>
                <w:i/>
                <w:iCs/>
              </w:rPr>
            </w:pPr>
            <w:r w:rsidRPr="00280C67">
              <w:rPr>
                <w:b/>
                <w:bCs/>
                <w:i/>
                <w:iCs/>
              </w:rPr>
              <w:t xml:space="preserve">variazione </w:t>
            </w:r>
            <w:r>
              <w:rPr>
                <w:b/>
                <w:bCs/>
                <w:i/>
                <w:iCs/>
              </w:rPr>
              <w:t>%</w:t>
            </w:r>
          </w:p>
        </w:tc>
      </w:tr>
      <w:tr w:rsidR="00270281" w:rsidRPr="00280C67" w:rsidTr="000E49B0">
        <w:trPr>
          <w:trHeight w:val="300"/>
        </w:trPr>
        <w:tc>
          <w:tcPr>
            <w:tcW w:w="2518" w:type="dxa"/>
            <w:noWrap/>
            <w:hideMark/>
          </w:tcPr>
          <w:p w:rsidR="00270281" w:rsidRPr="00280C67" w:rsidRDefault="00270281" w:rsidP="000E49B0">
            <w:r w:rsidRPr="00280C67">
              <w:t>PROVINCE</w:t>
            </w:r>
          </w:p>
        </w:tc>
        <w:tc>
          <w:tcPr>
            <w:tcW w:w="2552" w:type="dxa"/>
            <w:noWrap/>
            <w:hideMark/>
          </w:tcPr>
          <w:p w:rsidR="00270281" w:rsidRPr="00280C67" w:rsidRDefault="00270281" w:rsidP="000E49B0">
            <w:pPr>
              <w:jc w:val="right"/>
              <w:rPr>
                <w:b/>
                <w:bCs/>
              </w:rPr>
            </w:pPr>
            <w:r w:rsidRPr="00280C67">
              <w:rPr>
                <w:b/>
                <w:bCs/>
              </w:rPr>
              <w:t>3.821.419.630,91</w:t>
            </w:r>
          </w:p>
        </w:tc>
        <w:tc>
          <w:tcPr>
            <w:tcW w:w="2409" w:type="dxa"/>
            <w:noWrap/>
            <w:hideMark/>
          </w:tcPr>
          <w:p w:rsidR="00270281" w:rsidRPr="00280C67" w:rsidRDefault="00270281" w:rsidP="000E49B0">
            <w:pPr>
              <w:jc w:val="right"/>
              <w:rPr>
                <w:b/>
                <w:bCs/>
              </w:rPr>
            </w:pPr>
            <w:r w:rsidRPr="00280C67">
              <w:rPr>
                <w:b/>
                <w:bCs/>
              </w:rPr>
              <w:t>2.125.140.136,60</w:t>
            </w:r>
          </w:p>
        </w:tc>
        <w:tc>
          <w:tcPr>
            <w:tcW w:w="1985" w:type="dxa"/>
            <w:noWrap/>
            <w:hideMark/>
          </w:tcPr>
          <w:p w:rsidR="00270281" w:rsidRPr="00280C67" w:rsidRDefault="00270281" w:rsidP="000E49B0">
            <w:pPr>
              <w:rPr>
                <w:b/>
                <w:bCs/>
                <w:i/>
                <w:iCs/>
              </w:rPr>
            </w:pPr>
            <w:r w:rsidRPr="00280C67">
              <w:rPr>
                <w:b/>
                <w:bCs/>
                <w:i/>
                <w:iCs/>
              </w:rPr>
              <w:t>-44,39</w:t>
            </w:r>
          </w:p>
        </w:tc>
      </w:tr>
      <w:tr w:rsidR="00270281" w:rsidRPr="00280C67" w:rsidTr="000E49B0">
        <w:trPr>
          <w:trHeight w:val="300"/>
        </w:trPr>
        <w:tc>
          <w:tcPr>
            <w:tcW w:w="2518" w:type="dxa"/>
            <w:noWrap/>
            <w:hideMark/>
          </w:tcPr>
          <w:p w:rsidR="00270281" w:rsidRPr="00280C67" w:rsidRDefault="00270281" w:rsidP="000E49B0">
            <w:r w:rsidRPr="00280C67">
              <w:t>COMUNI</w:t>
            </w:r>
          </w:p>
        </w:tc>
        <w:tc>
          <w:tcPr>
            <w:tcW w:w="2552" w:type="dxa"/>
            <w:noWrap/>
            <w:hideMark/>
          </w:tcPr>
          <w:p w:rsidR="00270281" w:rsidRPr="00280C67" w:rsidRDefault="00270281" w:rsidP="000E49B0">
            <w:pPr>
              <w:jc w:val="right"/>
              <w:rPr>
                <w:b/>
                <w:bCs/>
              </w:rPr>
            </w:pPr>
            <w:r w:rsidRPr="00280C67">
              <w:rPr>
                <w:b/>
                <w:bCs/>
              </w:rPr>
              <w:t>20.864.908.922,88</w:t>
            </w:r>
          </w:p>
        </w:tc>
        <w:tc>
          <w:tcPr>
            <w:tcW w:w="2409" w:type="dxa"/>
            <w:noWrap/>
            <w:hideMark/>
          </w:tcPr>
          <w:p w:rsidR="00270281" w:rsidRPr="00280C67" w:rsidRDefault="00270281" w:rsidP="000E49B0">
            <w:pPr>
              <w:jc w:val="right"/>
              <w:rPr>
                <w:b/>
                <w:bCs/>
              </w:rPr>
            </w:pPr>
            <w:r w:rsidRPr="00280C67">
              <w:rPr>
                <w:b/>
                <w:bCs/>
              </w:rPr>
              <w:t>14.312.295.247,54</w:t>
            </w:r>
          </w:p>
        </w:tc>
        <w:tc>
          <w:tcPr>
            <w:tcW w:w="1985" w:type="dxa"/>
            <w:noWrap/>
            <w:hideMark/>
          </w:tcPr>
          <w:p w:rsidR="00270281" w:rsidRPr="00280C67" w:rsidRDefault="00270281" w:rsidP="000E49B0">
            <w:pPr>
              <w:rPr>
                <w:b/>
                <w:bCs/>
                <w:i/>
                <w:iCs/>
              </w:rPr>
            </w:pPr>
            <w:r w:rsidRPr="00280C67">
              <w:rPr>
                <w:b/>
                <w:bCs/>
                <w:i/>
                <w:iCs/>
              </w:rPr>
              <w:t>-31,40</w:t>
            </w:r>
          </w:p>
        </w:tc>
      </w:tr>
      <w:tr w:rsidR="00270281" w:rsidRPr="00280C67" w:rsidTr="000E49B0">
        <w:trPr>
          <w:trHeight w:val="300"/>
        </w:trPr>
        <w:tc>
          <w:tcPr>
            <w:tcW w:w="2518" w:type="dxa"/>
            <w:tcBorders>
              <w:bottom w:val="single" w:sz="4" w:space="0" w:color="auto"/>
            </w:tcBorders>
            <w:noWrap/>
            <w:hideMark/>
          </w:tcPr>
          <w:p w:rsidR="00270281" w:rsidRPr="00280C67" w:rsidRDefault="00270281" w:rsidP="000E49B0">
            <w:r w:rsidRPr="00280C67">
              <w:t>REGIONI</w:t>
            </w:r>
          </w:p>
        </w:tc>
        <w:tc>
          <w:tcPr>
            <w:tcW w:w="2552" w:type="dxa"/>
            <w:tcBorders>
              <w:bottom w:val="single" w:sz="4" w:space="0" w:color="auto"/>
            </w:tcBorders>
            <w:noWrap/>
            <w:hideMark/>
          </w:tcPr>
          <w:p w:rsidR="00270281" w:rsidRPr="00280C67" w:rsidRDefault="00270281" w:rsidP="000E49B0">
            <w:pPr>
              <w:jc w:val="right"/>
              <w:rPr>
                <w:b/>
                <w:bCs/>
              </w:rPr>
            </w:pPr>
            <w:r w:rsidRPr="00280C67">
              <w:rPr>
                <w:b/>
                <w:bCs/>
              </w:rPr>
              <w:t>21.209.027.881,71</w:t>
            </w:r>
          </w:p>
        </w:tc>
        <w:tc>
          <w:tcPr>
            <w:tcW w:w="2409" w:type="dxa"/>
            <w:tcBorders>
              <w:bottom w:val="single" w:sz="4" w:space="0" w:color="auto"/>
            </w:tcBorders>
            <w:noWrap/>
            <w:hideMark/>
          </w:tcPr>
          <w:p w:rsidR="00270281" w:rsidRPr="00280C67" w:rsidRDefault="00270281" w:rsidP="000E49B0">
            <w:pPr>
              <w:jc w:val="right"/>
              <w:rPr>
                <w:b/>
                <w:bCs/>
              </w:rPr>
            </w:pPr>
            <w:r w:rsidRPr="00280C67">
              <w:rPr>
                <w:b/>
                <w:bCs/>
              </w:rPr>
              <w:t>17.951.122.177,26</w:t>
            </w:r>
          </w:p>
        </w:tc>
        <w:tc>
          <w:tcPr>
            <w:tcW w:w="1985" w:type="dxa"/>
            <w:tcBorders>
              <w:bottom w:val="single" w:sz="4" w:space="0" w:color="auto"/>
            </w:tcBorders>
            <w:noWrap/>
            <w:hideMark/>
          </w:tcPr>
          <w:p w:rsidR="00270281" w:rsidRPr="00280C67" w:rsidRDefault="00270281" w:rsidP="000E49B0">
            <w:pPr>
              <w:rPr>
                <w:b/>
                <w:bCs/>
                <w:i/>
                <w:iCs/>
              </w:rPr>
            </w:pPr>
            <w:r w:rsidRPr="00280C67">
              <w:rPr>
                <w:b/>
                <w:bCs/>
                <w:i/>
                <w:iCs/>
              </w:rPr>
              <w:t>-15,36</w:t>
            </w:r>
          </w:p>
        </w:tc>
      </w:tr>
      <w:tr w:rsidR="00270281" w:rsidRPr="00280C67" w:rsidTr="000E49B0">
        <w:trPr>
          <w:trHeight w:val="300"/>
        </w:trPr>
        <w:tc>
          <w:tcPr>
            <w:tcW w:w="2518" w:type="dxa"/>
            <w:tcBorders>
              <w:top w:val="single" w:sz="4" w:space="0" w:color="auto"/>
              <w:left w:val="nil"/>
              <w:bottom w:val="single" w:sz="4" w:space="0" w:color="auto"/>
              <w:right w:val="nil"/>
            </w:tcBorders>
            <w:noWrap/>
            <w:hideMark/>
          </w:tcPr>
          <w:p w:rsidR="00270281" w:rsidRPr="00280C67" w:rsidRDefault="00270281" w:rsidP="000E49B0"/>
        </w:tc>
        <w:tc>
          <w:tcPr>
            <w:tcW w:w="2552" w:type="dxa"/>
            <w:tcBorders>
              <w:top w:val="single" w:sz="4" w:space="0" w:color="auto"/>
              <w:left w:val="nil"/>
              <w:bottom w:val="single" w:sz="4" w:space="0" w:color="auto"/>
              <w:right w:val="nil"/>
            </w:tcBorders>
            <w:noWrap/>
            <w:hideMark/>
          </w:tcPr>
          <w:p w:rsidR="00270281" w:rsidRPr="00280C67" w:rsidRDefault="00270281" w:rsidP="000E49B0"/>
        </w:tc>
        <w:tc>
          <w:tcPr>
            <w:tcW w:w="2409" w:type="dxa"/>
            <w:tcBorders>
              <w:top w:val="single" w:sz="4" w:space="0" w:color="auto"/>
              <w:left w:val="nil"/>
              <w:bottom w:val="single" w:sz="4" w:space="0" w:color="auto"/>
              <w:right w:val="nil"/>
            </w:tcBorders>
            <w:noWrap/>
            <w:hideMark/>
          </w:tcPr>
          <w:p w:rsidR="00270281" w:rsidRPr="00280C67" w:rsidRDefault="00270281" w:rsidP="000E49B0"/>
        </w:tc>
        <w:tc>
          <w:tcPr>
            <w:tcW w:w="1985" w:type="dxa"/>
            <w:tcBorders>
              <w:top w:val="single" w:sz="4" w:space="0" w:color="auto"/>
              <w:left w:val="nil"/>
              <w:bottom w:val="single" w:sz="4" w:space="0" w:color="auto"/>
              <w:right w:val="nil"/>
            </w:tcBorders>
            <w:noWrap/>
            <w:hideMark/>
          </w:tcPr>
          <w:p w:rsidR="00270281" w:rsidRPr="00280C67" w:rsidRDefault="00270281" w:rsidP="000E49B0"/>
        </w:tc>
      </w:tr>
      <w:tr w:rsidR="00270281" w:rsidRPr="00280C67" w:rsidTr="000E49B0">
        <w:trPr>
          <w:trHeight w:val="300"/>
        </w:trPr>
        <w:tc>
          <w:tcPr>
            <w:tcW w:w="2518" w:type="dxa"/>
            <w:tcBorders>
              <w:top w:val="single" w:sz="4" w:space="0" w:color="auto"/>
            </w:tcBorders>
            <w:noWrap/>
            <w:hideMark/>
          </w:tcPr>
          <w:p w:rsidR="00270281" w:rsidRPr="00280C67" w:rsidRDefault="00270281" w:rsidP="000E49B0">
            <w:pPr>
              <w:rPr>
                <w:b/>
                <w:bCs/>
              </w:rPr>
            </w:pPr>
            <w:r w:rsidRPr="00280C67">
              <w:rPr>
                <w:b/>
                <w:bCs/>
              </w:rPr>
              <w:t>totale spese province</w:t>
            </w:r>
          </w:p>
        </w:tc>
        <w:tc>
          <w:tcPr>
            <w:tcW w:w="2552" w:type="dxa"/>
            <w:tcBorders>
              <w:top w:val="single" w:sz="4" w:space="0" w:color="auto"/>
            </w:tcBorders>
            <w:noWrap/>
            <w:hideMark/>
          </w:tcPr>
          <w:p w:rsidR="00270281" w:rsidRPr="00280C67" w:rsidRDefault="00270281" w:rsidP="000E49B0">
            <w:pPr>
              <w:jc w:val="right"/>
              <w:rPr>
                <w:b/>
                <w:bCs/>
              </w:rPr>
            </w:pPr>
            <w:r w:rsidRPr="00280C67">
              <w:rPr>
                <w:b/>
                <w:bCs/>
              </w:rPr>
              <w:t>12.853.631.992,60</w:t>
            </w:r>
          </w:p>
        </w:tc>
        <w:tc>
          <w:tcPr>
            <w:tcW w:w="2409" w:type="dxa"/>
            <w:tcBorders>
              <w:top w:val="single" w:sz="4" w:space="0" w:color="auto"/>
            </w:tcBorders>
            <w:noWrap/>
            <w:hideMark/>
          </w:tcPr>
          <w:p w:rsidR="00270281" w:rsidRPr="00280C67" w:rsidRDefault="00270281" w:rsidP="000E49B0">
            <w:pPr>
              <w:jc w:val="right"/>
              <w:rPr>
                <w:b/>
                <w:bCs/>
              </w:rPr>
            </w:pPr>
            <w:r w:rsidRPr="00280C67">
              <w:rPr>
                <w:b/>
                <w:bCs/>
              </w:rPr>
              <w:t>10.111.784.570,60</w:t>
            </w:r>
          </w:p>
        </w:tc>
        <w:tc>
          <w:tcPr>
            <w:tcW w:w="1985" w:type="dxa"/>
            <w:tcBorders>
              <w:top w:val="single" w:sz="4" w:space="0" w:color="auto"/>
            </w:tcBorders>
            <w:noWrap/>
            <w:hideMark/>
          </w:tcPr>
          <w:p w:rsidR="00270281" w:rsidRPr="00280C67" w:rsidRDefault="00270281" w:rsidP="000E49B0">
            <w:pPr>
              <w:rPr>
                <w:b/>
                <w:bCs/>
                <w:i/>
                <w:iCs/>
              </w:rPr>
            </w:pPr>
            <w:r w:rsidRPr="00280C67">
              <w:rPr>
                <w:b/>
                <w:bCs/>
                <w:i/>
                <w:iCs/>
              </w:rPr>
              <w:t>-21,33</w:t>
            </w:r>
          </w:p>
        </w:tc>
      </w:tr>
      <w:tr w:rsidR="00270281" w:rsidRPr="00280C67" w:rsidTr="000E49B0">
        <w:trPr>
          <w:trHeight w:val="300"/>
        </w:trPr>
        <w:tc>
          <w:tcPr>
            <w:tcW w:w="2518" w:type="dxa"/>
            <w:noWrap/>
            <w:hideMark/>
          </w:tcPr>
          <w:p w:rsidR="00270281" w:rsidRPr="00280C67" w:rsidRDefault="00270281" w:rsidP="000E49B0">
            <w:pPr>
              <w:rPr>
                <w:b/>
                <w:bCs/>
              </w:rPr>
            </w:pPr>
            <w:r w:rsidRPr="00280C67">
              <w:rPr>
                <w:b/>
                <w:bCs/>
              </w:rPr>
              <w:t>totale spese comuni</w:t>
            </w:r>
          </w:p>
        </w:tc>
        <w:tc>
          <w:tcPr>
            <w:tcW w:w="2552" w:type="dxa"/>
            <w:noWrap/>
            <w:hideMark/>
          </w:tcPr>
          <w:p w:rsidR="00270281" w:rsidRPr="00280C67" w:rsidRDefault="00270281" w:rsidP="000E49B0">
            <w:pPr>
              <w:jc w:val="right"/>
              <w:rPr>
                <w:b/>
                <w:bCs/>
              </w:rPr>
            </w:pPr>
            <w:r w:rsidRPr="00280C67">
              <w:rPr>
                <w:b/>
                <w:bCs/>
              </w:rPr>
              <w:t>68.746.308.415,25</w:t>
            </w:r>
          </w:p>
        </w:tc>
        <w:tc>
          <w:tcPr>
            <w:tcW w:w="2409" w:type="dxa"/>
            <w:noWrap/>
            <w:hideMark/>
          </w:tcPr>
          <w:p w:rsidR="00270281" w:rsidRPr="00280C67" w:rsidRDefault="00270281" w:rsidP="000E49B0">
            <w:pPr>
              <w:jc w:val="right"/>
              <w:rPr>
                <w:b/>
                <w:bCs/>
              </w:rPr>
            </w:pPr>
            <w:r w:rsidRPr="00280C67">
              <w:rPr>
                <w:b/>
                <w:bCs/>
              </w:rPr>
              <w:t>65.621.900.490,15</w:t>
            </w:r>
          </w:p>
        </w:tc>
        <w:tc>
          <w:tcPr>
            <w:tcW w:w="1985" w:type="dxa"/>
            <w:noWrap/>
            <w:hideMark/>
          </w:tcPr>
          <w:p w:rsidR="00270281" w:rsidRPr="00280C67" w:rsidRDefault="00270281" w:rsidP="000E49B0">
            <w:pPr>
              <w:rPr>
                <w:b/>
                <w:bCs/>
                <w:i/>
                <w:iCs/>
              </w:rPr>
            </w:pPr>
            <w:r w:rsidRPr="00280C67">
              <w:rPr>
                <w:b/>
                <w:bCs/>
                <w:i/>
                <w:iCs/>
              </w:rPr>
              <w:t>-4,54</w:t>
            </w:r>
          </w:p>
        </w:tc>
      </w:tr>
      <w:tr w:rsidR="00270281" w:rsidRPr="00280C67" w:rsidTr="000E49B0">
        <w:trPr>
          <w:trHeight w:val="300"/>
        </w:trPr>
        <w:tc>
          <w:tcPr>
            <w:tcW w:w="2518" w:type="dxa"/>
            <w:noWrap/>
            <w:hideMark/>
          </w:tcPr>
          <w:p w:rsidR="00270281" w:rsidRPr="00280C67" w:rsidRDefault="00270281" w:rsidP="000E49B0">
            <w:pPr>
              <w:rPr>
                <w:b/>
                <w:bCs/>
              </w:rPr>
            </w:pPr>
            <w:r w:rsidRPr="00280C67">
              <w:rPr>
                <w:b/>
                <w:bCs/>
              </w:rPr>
              <w:t>totale spese regioni</w:t>
            </w:r>
          </w:p>
        </w:tc>
        <w:tc>
          <w:tcPr>
            <w:tcW w:w="2552" w:type="dxa"/>
            <w:noWrap/>
            <w:hideMark/>
          </w:tcPr>
          <w:p w:rsidR="00270281" w:rsidRPr="00280C67" w:rsidRDefault="00270281" w:rsidP="000E49B0">
            <w:pPr>
              <w:jc w:val="right"/>
              <w:rPr>
                <w:b/>
                <w:bCs/>
              </w:rPr>
            </w:pPr>
            <w:r w:rsidRPr="00280C67">
              <w:rPr>
                <w:b/>
                <w:bCs/>
              </w:rPr>
              <w:t>170.636.700.223,40</w:t>
            </w:r>
          </w:p>
        </w:tc>
        <w:tc>
          <w:tcPr>
            <w:tcW w:w="2409" w:type="dxa"/>
            <w:noWrap/>
            <w:hideMark/>
          </w:tcPr>
          <w:p w:rsidR="00270281" w:rsidRPr="00280C67" w:rsidRDefault="00270281" w:rsidP="000E49B0">
            <w:pPr>
              <w:jc w:val="right"/>
              <w:rPr>
                <w:b/>
                <w:bCs/>
              </w:rPr>
            </w:pPr>
            <w:r w:rsidRPr="00280C67">
              <w:rPr>
                <w:b/>
                <w:bCs/>
              </w:rPr>
              <w:t>163.440.622.405,24</w:t>
            </w:r>
          </w:p>
        </w:tc>
        <w:tc>
          <w:tcPr>
            <w:tcW w:w="1985" w:type="dxa"/>
            <w:noWrap/>
            <w:hideMark/>
          </w:tcPr>
          <w:p w:rsidR="00270281" w:rsidRPr="00280C67" w:rsidRDefault="00270281" w:rsidP="000E49B0">
            <w:pPr>
              <w:rPr>
                <w:b/>
                <w:bCs/>
                <w:i/>
                <w:iCs/>
              </w:rPr>
            </w:pPr>
            <w:r w:rsidRPr="00280C67">
              <w:rPr>
                <w:b/>
                <w:bCs/>
                <w:i/>
                <w:iCs/>
              </w:rPr>
              <w:t>-4,22</w:t>
            </w:r>
          </w:p>
        </w:tc>
      </w:tr>
    </w:tbl>
    <w:p w:rsidR="00270281" w:rsidRPr="008F4630" w:rsidRDefault="00270281" w:rsidP="00270281">
      <w:pPr>
        <w:rPr>
          <w:sz w:val="18"/>
          <w:szCs w:val="18"/>
        </w:rPr>
      </w:pPr>
      <w:r w:rsidRPr="008F4630">
        <w:rPr>
          <w:sz w:val="18"/>
          <w:szCs w:val="18"/>
        </w:rPr>
        <w:t xml:space="preserve">Fonte </w:t>
      </w:r>
      <w:proofErr w:type="spellStart"/>
      <w:r w:rsidRPr="008F4630">
        <w:rPr>
          <w:sz w:val="18"/>
          <w:szCs w:val="18"/>
        </w:rPr>
        <w:t>siope</w:t>
      </w:r>
      <w:proofErr w:type="spellEnd"/>
      <w:r w:rsidRPr="008F4630">
        <w:rPr>
          <w:sz w:val="18"/>
          <w:szCs w:val="18"/>
        </w:rPr>
        <w:t xml:space="preserve"> – maggio 2013</w:t>
      </w:r>
    </w:p>
    <w:p w:rsidR="00270281" w:rsidRDefault="00270281">
      <w:r>
        <w:br w:type="page"/>
      </w:r>
    </w:p>
    <w:p w:rsidR="004C6586" w:rsidRPr="004C6586" w:rsidRDefault="004C6586" w:rsidP="004C6586">
      <w:pPr>
        <w:pStyle w:val="Paragrafoelenco"/>
        <w:numPr>
          <w:ilvl w:val="0"/>
          <w:numId w:val="2"/>
        </w:numPr>
        <w:rPr>
          <w:b/>
        </w:rPr>
      </w:pPr>
      <w:r w:rsidRPr="004C6586">
        <w:rPr>
          <w:b/>
          <w:i/>
        </w:rPr>
        <w:lastRenderedPageBreak/>
        <w:t>LA DINAMICA DELLE ENTRATE DELLE PROVINCE</w:t>
      </w:r>
    </w:p>
    <w:p w:rsidR="004C6586" w:rsidRDefault="004C6586" w:rsidP="004C6586">
      <w:pPr>
        <w:jc w:val="both"/>
      </w:pPr>
      <w:r>
        <w:t xml:space="preserve">Le entrate delle Province mostrano come, nei principali titoli di bilancio, si sia dovuto fronteggiare, negli ultimi anni, una forte contrazione del flusso finanziario, con specifico riferimento ai fondi di provenienza statale e regionale. In 5 anni, come mostra la tabella, complessivamente le entrate da trasferimenti sono diminuite di oltre il  </w:t>
      </w:r>
      <w:r w:rsidRPr="00CF0F49">
        <w:rPr>
          <w:b/>
          <w:sz w:val="24"/>
          <w:szCs w:val="24"/>
        </w:rPr>
        <w:t>21%</w:t>
      </w:r>
      <w:r>
        <w:t xml:space="preserve"> . </w:t>
      </w:r>
    </w:p>
    <w:p w:rsidR="004C6586" w:rsidRDefault="004C6586" w:rsidP="004C6586">
      <w:pPr>
        <w:jc w:val="both"/>
      </w:pPr>
      <w:r>
        <w:t xml:space="preserve">Alla forte diminuzione dei trasferimenti statali </w:t>
      </w:r>
      <w:r w:rsidRPr="008244D4">
        <w:rPr>
          <w:b/>
          <w:sz w:val="24"/>
          <w:szCs w:val="24"/>
        </w:rPr>
        <w:t>(-41%)</w:t>
      </w:r>
      <w:r>
        <w:t xml:space="preserve"> si è infatti sommato il concomitante calo dei trasferimenti regionali </w:t>
      </w:r>
      <w:r w:rsidRPr="008244D4">
        <w:rPr>
          <w:b/>
          <w:sz w:val="24"/>
          <w:szCs w:val="24"/>
        </w:rPr>
        <w:t>(-14%)</w:t>
      </w:r>
      <w:r>
        <w:t xml:space="preserve"> risorse queste, è bene ricordarlo, che sono destinate alla copertura di spese per servizi delegati dalle Regioni alle Province. Servizi che quindi sono stati assegnati senza la corrispondente copertura finanziaria, cui le Province hanno fatto fronte operando economie di scala nei propri bilanci. </w:t>
      </w:r>
    </w:p>
    <w:p w:rsidR="004C6586" w:rsidRDefault="004C6586" w:rsidP="004C6586">
      <w:pPr>
        <w:jc w:val="both"/>
      </w:pPr>
    </w:p>
    <w:tbl>
      <w:tblPr>
        <w:tblW w:w="9460" w:type="dxa"/>
        <w:tblInd w:w="-15" w:type="dxa"/>
        <w:tblCellMar>
          <w:left w:w="0" w:type="dxa"/>
          <w:right w:w="0" w:type="dxa"/>
        </w:tblCellMar>
        <w:tblLook w:val="04A0" w:firstRow="1" w:lastRow="0" w:firstColumn="1" w:lastColumn="0" w:noHBand="0" w:noVBand="1"/>
      </w:tblPr>
      <w:tblGrid>
        <w:gridCol w:w="4310"/>
        <w:gridCol w:w="150"/>
        <w:gridCol w:w="150"/>
        <w:gridCol w:w="1605"/>
        <w:gridCol w:w="1665"/>
        <w:gridCol w:w="1580"/>
      </w:tblGrid>
      <w:tr w:rsidR="004C6586" w:rsidRPr="00E5022D" w:rsidTr="000E49B0">
        <w:trPr>
          <w:trHeight w:val="300"/>
        </w:trPr>
        <w:tc>
          <w:tcPr>
            <w:tcW w:w="4620" w:type="dxa"/>
            <w:gridSpan w:val="3"/>
            <w:shd w:val="clear" w:color="auto" w:fill="FFFFFF"/>
            <w:tcMar>
              <w:top w:w="0" w:type="dxa"/>
              <w:left w:w="70" w:type="dxa"/>
              <w:bottom w:w="0" w:type="dxa"/>
              <w:right w:w="70" w:type="dxa"/>
            </w:tcMar>
            <w:vAlign w:val="center"/>
            <w:hideMark/>
          </w:tcPr>
          <w:p w:rsidR="004C6586" w:rsidRPr="00E5022D" w:rsidRDefault="004C6586" w:rsidP="000E49B0">
            <w:pPr>
              <w:rPr>
                <w:rFonts w:eastAsia="Times New Roman" w:cstheme="minorHAnsi"/>
              </w:rPr>
            </w:pPr>
          </w:p>
        </w:tc>
        <w:tc>
          <w:tcPr>
            <w:tcW w:w="1600"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4C6586" w:rsidRPr="00E5022D" w:rsidRDefault="004C6586" w:rsidP="000E49B0">
            <w:pPr>
              <w:jc w:val="right"/>
              <w:rPr>
                <w:rFonts w:eastAsiaTheme="minorHAnsi" w:cstheme="minorHAnsi"/>
                <w:color w:val="000000"/>
              </w:rPr>
            </w:pPr>
            <w:r w:rsidRPr="00E5022D">
              <w:rPr>
                <w:rFonts w:cstheme="minorHAnsi"/>
                <w:color w:val="000000"/>
              </w:rPr>
              <w:t>2008</w:t>
            </w:r>
          </w:p>
        </w:tc>
        <w:tc>
          <w:tcPr>
            <w:tcW w:w="166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4C6586" w:rsidRPr="00E5022D" w:rsidRDefault="004C6586" w:rsidP="000E49B0">
            <w:pPr>
              <w:jc w:val="center"/>
              <w:rPr>
                <w:rFonts w:eastAsiaTheme="minorHAnsi" w:cstheme="minorHAnsi"/>
              </w:rPr>
            </w:pPr>
            <w:r w:rsidRPr="00E5022D">
              <w:rPr>
                <w:rFonts w:cstheme="minorHAnsi"/>
              </w:rPr>
              <w:t>2012</w:t>
            </w:r>
          </w:p>
        </w:tc>
        <w:tc>
          <w:tcPr>
            <w:tcW w:w="1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C6586" w:rsidRPr="00E5022D" w:rsidRDefault="004C6586" w:rsidP="000E49B0">
            <w:pPr>
              <w:rPr>
                <w:rFonts w:eastAsiaTheme="minorHAnsi" w:cstheme="minorHAnsi"/>
                <w:color w:val="000000"/>
              </w:rPr>
            </w:pPr>
            <w:r w:rsidRPr="00E5022D">
              <w:rPr>
                <w:rFonts w:cstheme="minorHAnsi"/>
                <w:color w:val="000000"/>
              </w:rPr>
              <w:t>variazione %</w:t>
            </w:r>
          </w:p>
        </w:tc>
      </w:tr>
      <w:tr w:rsidR="004C6586" w:rsidRPr="00E5022D" w:rsidTr="000E49B0">
        <w:trPr>
          <w:trHeight w:val="300"/>
        </w:trPr>
        <w:tc>
          <w:tcPr>
            <w:tcW w:w="4620"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6586" w:rsidRPr="00E5022D" w:rsidRDefault="004C6586" w:rsidP="000E49B0">
            <w:pPr>
              <w:rPr>
                <w:rFonts w:eastAsiaTheme="minorHAnsi" w:cstheme="minorHAnsi"/>
                <w:b/>
                <w:bCs/>
              </w:rPr>
            </w:pPr>
            <w:r w:rsidRPr="00E5022D">
              <w:rPr>
                <w:rFonts w:cstheme="minorHAnsi"/>
                <w:b/>
                <w:bCs/>
              </w:rPr>
              <w:t>TITOLO 1^ ENTRATE TRIBUTARIE</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C6586" w:rsidRPr="00E5022D" w:rsidRDefault="004C6586" w:rsidP="000E49B0">
            <w:pPr>
              <w:jc w:val="right"/>
              <w:rPr>
                <w:rFonts w:eastAsiaTheme="minorHAnsi" w:cstheme="minorHAnsi"/>
                <w:color w:val="000000"/>
              </w:rPr>
            </w:pPr>
            <w:r w:rsidRPr="00E5022D">
              <w:rPr>
                <w:rFonts w:cstheme="minorHAnsi"/>
                <w:color w:val="000000"/>
              </w:rPr>
              <w:t>4.904.840.790</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6586" w:rsidRPr="00E5022D" w:rsidRDefault="004C6586" w:rsidP="000E49B0">
            <w:pPr>
              <w:jc w:val="right"/>
              <w:rPr>
                <w:rFonts w:eastAsiaTheme="minorHAnsi" w:cstheme="minorHAnsi"/>
              </w:rPr>
            </w:pPr>
            <w:r w:rsidRPr="00E5022D">
              <w:rPr>
                <w:rFonts w:cstheme="minorHAnsi"/>
              </w:rPr>
              <w:t>4.815.258.863</w:t>
            </w:r>
          </w:p>
        </w:tc>
        <w:tc>
          <w:tcPr>
            <w:tcW w:w="1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C6586" w:rsidRPr="00E5022D" w:rsidRDefault="004C6586" w:rsidP="000E49B0">
            <w:pPr>
              <w:jc w:val="right"/>
              <w:rPr>
                <w:rFonts w:eastAsiaTheme="minorHAnsi" w:cstheme="minorHAnsi"/>
                <w:b/>
                <w:bCs/>
                <w:i/>
                <w:iCs/>
                <w:color w:val="000000"/>
              </w:rPr>
            </w:pPr>
            <w:r w:rsidRPr="00E5022D">
              <w:rPr>
                <w:rFonts w:cstheme="minorHAnsi"/>
                <w:b/>
                <w:bCs/>
                <w:i/>
                <w:iCs/>
                <w:color w:val="000000"/>
              </w:rPr>
              <w:t>-1,83</w:t>
            </w:r>
          </w:p>
        </w:tc>
      </w:tr>
      <w:tr w:rsidR="004C6586" w:rsidRPr="00E5022D" w:rsidTr="000E49B0">
        <w:trPr>
          <w:trHeight w:val="660"/>
        </w:trPr>
        <w:tc>
          <w:tcPr>
            <w:tcW w:w="462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6586" w:rsidRPr="00E5022D" w:rsidRDefault="004C6586" w:rsidP="000E49B0">
            <w:pPr>
              <w:rPr>
                <w:rFonts w:eastAsiaTheme="minorHAnsi" w:cstheme="minorHAnsi"/>
                <w:b/>
                <w:bCs/>
              </w:rPr>
            </w:pPr>
            <w:r w:rsidRPr="00E5022D">
              <w:rPr>
                <w:rFonts w:cstheme="minorHAnsi"/>
                <w:b/>
                <w:bCs/>
              </w:rPr>
              <w:t>TITOLO 2^ ENTRATE DERIVANTI DA CONTRIBUTI E TRASFERIMENTI CORRENTI</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C6586" w:rsidRPr="00E5022D" w:rsidRDefault="004C6586" w:rsidP="000E49B0">
            <w:pPr>
              <w:jc w:val="right"/>
              <w:rPr>
                <w:rFonts w:eastAsiaTheme="minorHAnsi" w:cstheme="minorHAnsi"/>
                <w:color w:val="000000"/>
              </w:rPr>
            </w:pPr>
            <w:r w:rsidRPr="00E5022D">
              <w:rPr>
                <w:rFonts w:cstheme="minorHAnsi"/>
                <w:color w:val="000000"/>
              </w:rPr>
              <w:t>4.091.627.846</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C6586" w:rsidRPr="00E5022D" w:rsidRDefault="004C6586" w:rsidP="000E49B0">
            <w:pPr>
              <w:jc w:val="right"/>
              <w:rPr>
                <w:rFonts w:eastAsiaTheme="minorHAnsi" w:cstheme="minorHAnsi"/>
              </w:rPr>
            </w:pPr>
            <w:r w:rsidRPr="00E5022D">
              <w:rPr>
                <w:rFonts w:cstheme="minorHAnsi"/>
              </w:rPr>
              <w:t>3.229.955.689</w:t>
            </w:r>
          </w:p>
        </w:tc>
        <w:tc>
          <w:tcPr>
            <w:tcW w:w="1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C6586" w:rsidRPr="00E5022D" w:rsidRDefault="004C6586" w:rsidP="000E49B0">
            <w:pPr>
              <w:jc w:val="right"/>
              <w:rPr>
                <w:rFonts w:eastAsiaTheme="minorHAnsi" w:cstheme="minorHAnsi"/>
                <w:b/>
                <w:bCs/>
                <w:i/>
                <w:iCs/>
                <w:color w:val="000000"/>
              </w:rPr>
            </w:pPr>
            <w:r w:rsidRPr="00E5022D">
              <w:rPr>
                <w:rFonts w:cstheme="minorHAnsi"/>
                <w:b/>
                <w:bCs/>
                <w:i/>
                <w:iCs/>
                <w:color w:val="000000"/>
              </w:rPr>
              <w:t>-21,06</w:t>
            </w:r>
          </w:p>
        </w:tc>
      </w:tr>
      <w:tr w:rsidR="004C6586" w:rsidRPr="00E5022D" w:rsidTr="000E49B0">
        <w:trPr>
          <w:trHeight w:val="300"/>
        </w:trPr>
        <w:tc>
          <w:tcPr>
            <w:tcW w:w="442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6586" w:rsidRPr="00E5022D" w:rsidRDefault="004C6586" w:rsidP="000E49B0">
            <w:pPr>
              <w:rPr>
                <w:rFonts w:eastAsiaTheme="minorHAnsi" w:cstheme="minorHAnsi"/>
                <w:b/>
                <w:bCs/>
              </w:rPr>
            </w:pPr>
            <w:r w:rsidRPr="00E5022D">
              <w:rPr>
                <w:rFonts w:cstheme="minorHAnsi"/>
                <w:b/>
                <w:bCs/>
              </w:rPr>
              <w:t xml:space="preserve">di cui </w:t>
            </w:r>
          </w:p>
        </w:tc>
        <w:tc>
          <w:tcPr>
            <w:tcW w:w="97" w:type="dxa"/>
            <w:noWrap/>
            <w:tcMar>
              <w:top w:w="0" w:type="dxa"/>
              <w:left w:w="70" w:type="dxa"/>
              <w:bottom w:w="0" w:type="dxa"/>
              <w:right w:w="70" w:type="dxa"/>
            </w:tcMar>
            <w:vAlign w:val="bottom"/>
            <w:hideMark/>
          </w:tcPr>
          <w:p w:rsidR="004C6586" w:rsidRPr="00E5022D" w:rsidRDefault="004C6586" w:rsidP="000E49B0">
            <w:pPr>
              <w:rPr>
                <w:rFonts w:eastAsia="Times New Roman" w:cstheme="minorHAnsi"/>
              </w:rPr>
            </w:pPr>
          </w:p>
        </w:tc>
        <w:tc>
          <w:tcPr>
            <w:tcW w:w="97" w:type="dxa"/>
            <w:noWrap/>
            <w:tcMar>
              <w:top w:w="0" w:type="dxa"/>
              <w:left w:w="70" w:type="dxa"/>
              <w:bottom w:w="0" w:type="dxa"/>
              <w:right w:w="70" w:type="dxa"/>
            </w:tcMar>
            <w:vAlign w:val="bottom"/>
            <w:hideMark/>
          </w:tcPr>
          <w:p w:rsidR="004C6586" w:rsidRPr="00E5022D" w:rsidRDefault="004C6586" w:rsidP="000E49B0">
            <w:pPr>
              <w:rPr>
                <w:rFonts w:eastAsia="Times New Roman" w:cstheme="minorHAnsi"/>
              </w:rPr>
            </w:pPr>
          </w:p>
        </w:tc>
        <w:tc>
          <w:tcPr>
            <w:tcW w:w="1600" w:type="dxa"/>
            <w:noWrap/>
            <w:tcMar>
              <w:top w:w="0" w:type="dxa"/>
              <w:left w:w="70" w:type="dxa"/>
              <w:bottom w:w="0" w:type="dxa"/>
              <w:right w:w="70" w:type="dxa"/>
            </w:tcMar>
            <w:vAlign w:val="bottom"/>
            <w:hideMark/>
          </w:tcPr>
          <w:p w:rsidR="004C6586" w:rsidRPr="00E5022D" w:rsidRDefault="004C6586" w:rsidP="000E49B0">
            <w:pPr>
              <w:rPr>
                <w:rFonts w:eastAsia="Times New Roman" w:cstheme="minorHAnsi"/>
              </w:rPr>
            </w:pPr>
          </w:p>
        </w:tc>
        <w:tc>
          <w:tcPr>
            <w:tcW w:w="1660" w:type="dxa"/>
            <w:noWrap/>
            <w:tcMar>
              <w:top w:w="0" w:type="dxa"/>
              <w:left w:w="70" w:type="dxa"/>
              <w:bottom w:w="0" w:type="dxa"/>
              <w:right w:w="70" w:type="dxa"/>
            </w:tcMar>
            <w:vAlign w:val="center"/>
            <w:hideMark/>
          </w:tcPr>
          <w:p w:rsidR="004C6586" w:rsidRPr="00E5022D" w:rsidRDefault="004C6586" w:rsidP="000E49B0">
            <w:pPr>
              <w:rPr>
                <w:rFonts w:eastAsia="Times New Roman" w:cstheme="minorHAnsi"/>
              </w:rPr>
            </w:pPr>
          </w:p>
        </w:tc>
        <w:tc>
          <w:tcPr>
            <w:tcW w:w="1580" w:type="dxa"/>
            <w:noWrap/>
            <w:tcMar>
              <w:top w:w="0" w:type="dxa"/>
              <w:left w:w="70" w:type="dxa"/>
              <w:bottom w:w="0" w:type="dxa"/>
              <w:right w:w="70" w:type="dxa"/>
            </w:tcMar>
            <w:vAlign w:val="bottom"/>
            <w:hideMark/>
          </w:tcPr>
          <w:p w:rsidR="004C6586" w:rsidRPr="00E5022D" w:rsidRDefault="004C6586" w:rsidP="000E49B0">
            <w:pPr>
              <w:rPr>
                <w:rFonts w:eastAsia="Times New Roman" w:cstheme="minorHAnsi"/>
              </w:rPr>
            </w:pPr>
          </w:p>
        </w:tc>
      </w:tr>
      <w:tr w:rsidR="004C6586" w:rsidRPr="00E5022D" w:rsidTr="000E49B0">
        <w:trPr>
          <w:trHeight w:val="900"/>
        </w:trPr>
        <w:tc>
          <w:tcPr>
            <w:tcW w:w="462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6586" w:rsidRPr="00E5022D" w:rsidRDefault="004C6586" w:rsidP="000E49B0">
            <w:pPr>
              <w:rPr>
                <w:rFonts w:eastAsiaTheme="minorHAnsi" w:cstheme="minorHAnsi"/>
                <w:color w:val="000000"/>
              </w:rPr>
            </w:pPr>
            <w:r w:rsidRPr="00E5022D">
              <w:rPr>
                <w:rFonts w:cstheme="minorHAnsi"/>
                <w:color w:val="000000"/>
              </w:rPr>
              <w:t xml:space="preserve">Trasferimenti correnti dallo Stato </w:t>
            </w:r>
          </w:p>
        </w:tc>
        <w:tc>
          <w:tcPr>
            <w:tcW w:w="16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C6586" w:rsidRPr="00E5022D" w:rsidRDefault="004C6586" w:rsidP="000E49B0">
            <w:pPr>
              <w:jc w:val="right"/>
              <w:rPr>
                <w:rFonts w:eastAsiaTheme="minorHAnsi" w:cstheme="minorHAnsi"/>
                <w:color w:val="000000"/>
              </w:rPr>
            </w:pPr>
            <w:r w:rsidRPr="00E5022D">
              <w:rPr>
                <w:rFonts w:cstheme="minorHAnsi"/>
                <w:color w:val="000000"/>
              </w:rPr>
              <w:t>1.117.839.629</w:t>
            </w:r>
          </w:p>
        </w:tc>
        <w:tc>
          <w:tcPr>
            <w:tcW w:w="16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4C6586" w:rsidRPr="00E5022D" w:rsidRDefault="004C6586" w:rsidP="000E49B0">
            <w:pPr>
              <w:jc w:val="right"/>
              <w:rPr>
                <w:rFonts w:eastAsiaTheme="minorHAnsi" w:cstheme="minorHAnsi"/>
                <w:color w:val="000000"/>
              </w:rPr>
            </w:pPr>
            <w:r w:rsidRPr="00E5022D">
              <w:rPr>
                <w:rFonts w:cstheme="minorHAnsi"/>
                <w:color w:val="000000"/>
              </w:rPr>
              <w:t>657.109.534</w:t>
            </w:r>
          </w:p>
        </w:tc>
        <w:tc>
          <w:tcPr>
            <w:tcW w:w="1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C6586" w:rsidRPr="00E5022D" w:rsidRDefault="004C6586" w:rsidP="000E49B0">
            <w:pPr>
              <w:jc w:val="right"/>
              <w:rPr>
                <w:rFonts w:eastAsiaTheme="minorHAnsi" w:cstheme="minorHAnsi"/>
                <w:b/>
                <w:bCs/>
                <w:i/>
                <w:iCs/>
                <w:color w:val="000000"/>
              </w:rPr>
            </w:pPr>
            <w:r w:rsidRPr="00E5022D">
              <w:rPr>
                <w:rFonts w:cstheme="minorHAnsi"/>
                <w:b/>
                <w:bCs/>
                <w:i/>
                <w:iCs/>
                <w:color w:val="000000"/>
              </w:rPr>
              <w:t>-41,22</w:t>
            </w:r>
          </w:p>
        </w:tc>
      </w:tr>
      <w:tr w:rsidR="004C6586" w:rsidRPr="00E5022D" w:rsidTr="000E49B0">
        <w:trPr>
          <w:trHeight w:val="570"/>
        </w:trPr>
        <w:tc>
          <w:tcPr>
            <w:tcW w:w="462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6586" w:rsidRPr="00E5022D" w:rsidRDefault="004C6586" w:rsidP="000E49B0">
            <w:pPr>
              <w:rPr>
                <w:rFonts w:eastAsiaTheme="minorHAnsi" w:cstheme="minorHAnsi"/>
                <w:color w:val="000000"/>
              </w:rPr>
            </w:pPr>
            <w:r w:rsidRPr="00E5022D">
              <w:rPr>
                <w:rFonts w:cstheme="minorHAnsi"/>
                <w:color w:val="000000"/>
              </w:rPr>
              <w:t>Trasferimenti correnti dalle Regioni</w:t>
            </w:r>
          </w:p>
        </w:tc>
        <w:tc>
          <w:tcPr>
            <w:tcW w:w="16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C6586" w:rsidRPr="00E5022D" w:rsidRDefault="004C6586" w:rsidP="000E49B0">
            <w:pPr>
              <w:jc w:val="right"/>
              <w:rPr>
                <w:rFonts w:eastAsiaTheme="minorHAnsi" w:cstheme="minorHAnsi"/>
                <w:color w:val="000000"/>
              </w:rPr>
            </w:pPr>
            <w:r w:rsidRPr="00E5022D">
              <w:rPr>
                <w:rFonts w:cstheme="minorHAnsi"/>
                <w:color w:val="000000"/>
              </w:rPr>
              <w:t>2.793.049.716</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4C6586" w:rsidRPr="00E5022D" w:rsidRDefault="004C6586" w:rsidP="000E49B0">
            <w:pPr>
              <w:jc w:val="right"/>
              <w:rPr>
                <w:rFonts w:eastAsiaTheme="minorHAnsi" w:cstheme="minorHAnsi"/>
                <w:color w:val="000000"/>
              </w:rPr>
            </w:pPr>
            <w:r w:rsidRPr="00E5022D">
              <w:rPr>
                <w:rFonts w:cstheme="minorHAnsi"/>
                <w:color w:val="000000"/>
              </w:rPr>
              <w:t>2.377.145.397</w:t>
            </w:r>
          </w:p>
        </w:tc>
        <w:tc>
          <w:tcPr>
            <w:tcW w:w="1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C6586" w:rsidRPr="00E5022D" w:rsidRDefault="004C6586" w:rsidP="000E49B0">
            <w:pPr>
              <w:jc w:val="right"/>
              <w:rPr>
                <w:rFonts w:eastAsiaTheme="minorHAnsi" w:cstheme="minorHAnsi"/>
                <w:b/>
                <w:bCs/>
                <w:i/>
                <w:iCs/>
                <w:color w:val="000000"/>
              </w:rPr>
            </w:pPr>
            <w:r w:rsidRPr="00E5022D">
              <w:rPr>
                <w:rFonts w:cstheme="minorHAnsi"/>
                <w:b/>
                <w:bCs/>
                <w:i/>
                <w:iCs/>
                <w:color w:val="000000"/>
              </w:rPr>
              <w:t>-14,89</w:t>
            </w:r>
          </w:p>
        </w:tc>
      </w:tr>
      <w:tr w:rsidR="004C6586" w:rsidRPr="00E5022D" w:rsidTr="000E49B0">
        <w:trPr>
          <w:trHeight w:val="630"/>
        </w:trPr>
        <w:tc>
          <w:tcPr>
            <w:tcW w:w="462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6586" w:rsidRPr="00E5022D" w:rsidRDefault="004C6586" w:rsidP="000E49B0">
            <w:pPr>
              <w:rPr>
                <w:rFonts w:eastAsiaTheme="minorHAnsi" w:cstheme="minorHAnsi"/>
                <w:b/>
                <w:bCs/>
              </w:rPr>
            </w:pPr>
            <w:r w:rsidRPr="00E5022D">
              <w:rPr>
                <w:rFonts w:cstheme="minorHAnsi"/>
                <w:b/>
                <w:bCs/>
              </w:rPr>
              <w:t>TITOLO 3^ ENTRATE EXTRATRIBUTARIE</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C6586" w:rsidRPr="00E5022D" w:rsidRDefault="004C6586" w:rsidP="000E49B0">
            <w:pPr>
              <w:jc w:val="right"/>
              <w:rPr>
                <w:rFonts w:eastAsiaTheme="minorHAnsi" w:cstheme="minorHAnsi"/>
                <w:color w:val="000000"/>
              </w:rPr>
            </w:pPr>
            <w:r w:rsidRPr="00E5022D">
              <w:rPr>
                <w:rFonts w:cstheme="minorHAnsi"/>
                <w:color w:val="000000"/>
              </w:rPr>
              <w:t>698.717.671</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C6586" w:rsidRPr="00E5022D" w:rsidRDefault="004C6586" w:rsidP="000E49B0">
            <w:pPr>
              <w:jc w:val="right"/>
              <w:rPr>
                <w:rFonts w:eastAsiaTheme="minorHAnsi" w:cstheme="minorHAnsi"/>
              </w:rPr>
            </w:pPr>
            <w:r w:rsidRPr="00E5022D">
              <w:rPr>
                <w:rFonts w:cstheme="minorHAnsi"/>
              </w:rPr>
              <w:t>700.786.526</w:t>
            </w:r>
          </w:p>
        </w:tc>
        <w:tc>
          <w:tcPr>
            <w:tcW w:w="1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C6586" w:rsidRPr="00E5022D" w:rsidRDefault="004C6586" w:rsidP="000E49B0">
            <w:pPr>
              <w:jc w:val="right"/>
              <w:rPr>
                <w:rFonts w:eastAsiaTheme="minorHAnsi" w:cstheme="minorHAnsi"/>
                <w:b/>
                <w:bCs/>
                <w:i/>
                <w:iCs/>
                <w:color w:val="000000"/>
              </w:rPr>
            </w:pPr>
            <w:r w:rsidRPr="00E5022D">
              <w:rPr>
                <w:rFonts w:cstheme="minorHAnsi"/>
                <w:b/>
                <w:bCs/>
                <w:i/>
                <w:iCs/>
                <w:color w:val="000000"/>
              </w:rPr>
              <w:t>0,30</w:t>
            </w:r>
          </w:p>
        </w:tc>
      </w:tr>
      <w:tr w:rsidR="004C6586" w:rsidRPr="00E5022D" w:rsidTr="000E49B0">
        <w:trPr>
          <w:trHeight w:val="840"/>
        </w:trPr>
        <w:tc>
          <w:tcPr>
            <w:tcW w:w="462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C6586" w:rsidRPr="00E5022D" w:rsidRDefault="004C6586" w:rsidP="000E49B0">
            <w:pPr>
              <w:rPr>
                <w:rFonts w:eastAsiaTheme="minorHAnsi" w:cstheme="minorHAnsi"/>
                <w:b/>
                <w:bCs/>
              </w:rPr>
            </w:pPr>
            <w:r w:rsidRPr="00E5022D">
              <w:rPr>
                <w:rFonts w:cstheme="minorHAnsi"/>
                <w:b/>
                <w:bCs/>
              </w:rPr>
              <w:t>TITOLO 4^ ENTRATE DERIVANTI DA ALIENAZIONI, DA TRASFERIMENTI DI CAPITALE E DA RISCOSSIONE DI CREDITI</w:t>
            </w:r>
          </w:p>
        </w:tc>
        <w:tc>
          <w:tcPr>
            <w:tcW w:w="16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C6586" w:rsidRPr="00E5022D" w:rsidRDefault="004C6586" w:rsidP="000E49B0">
            <w:pPr>
              <w:jc w:val="right"/>
              <w:rPr>
                <w:rFonts w:eastAsiaTheme="minorHAnsi" w:cstheme="minorHAnsi"/>
                <w:color w:val="000000"/>
              </w:rPr>
            </w:pPr>
            <w:r w:rsidRPr="00E5022D">
              <w:rPr>
                <w:rFonts w:cstheme="minorHAnsi"/>
                <w:color w:val="000000"/>
              </w:rPr>
              <w:t>2.539.931.391</w:t>
            </w:r>
          </w:p>
        </w:tc>
        <w:tc>
          <w:tcPr>
            <w:tcW w:w="16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C6586" w:rsidRPr="00E5022D" w:rsidRDefault="004C6586" w:rsidP="000E49B0">
            <w:pPr>
              <w:jc w:val="right"/>
              <w:rPr>
                <w:rFonts w:eastAsiaTheme="minorHAnsi" w:cstheme="minorHAnsi"/>
              </w:rPr>
            </w:pPr>
            <w:r w:rsidRPr="00E5022D">
              <w:rPr>
                <w:rFonts w:cstheme="minorHAnsi"/>
              </w:rPr>
              <w:t>1.532.946.348</w:t>
            </w:r>
          </w:p>
        </w:tc>
        <w:tc>
          <w:tcPr>
            <w:tcW w:w="1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C6586" w:rsidRPr="00E5022D" w:rsidRDefault="004C6586" w:rsidP="000E49B0">
            <w:pPr>
              <w:jc w:val="right"/>
              <w:rPr>
                <w:rFonts w:eastAsiaTheme="minorHAnsi" w:cstheme="minorHAnsi"/>
                <w:b/>
                <w:bCs/>
                <w:i/>
                <w:iCs/>
                <w:color w:val="000000"/>
              </w:rPr>
            </w:pPr>
            <w:r w:rsidRPr="00E5022D">
              <w:rPr>
                <w:rFonts w:cstheme="minorHAnsi"/>
                <w:b/>
                <w:bCs/>
                <w:i/>
                <w:iCs/>
                <w:color w:val="000000"/>
              </w:rPr>
              <w:t>-39,65</w:t>
            </w:r>
          </w:p>
        </w:tc>
      </w:tr>
      <w:tr w:rsidR="004C6586" w:rsidTr="000E49B0">
        <w:tc>
          <w:tcPr>
            <w:tcW w:w="4335" w:type="dxa"/>
            <w:vAlign w:val="center"/>
            <w:hideMark/>
          </w:tcPr>
          <w:p w:rsidR="004C6586" w:rsidRDefault="004C6586" w:rsidP="000E49B0">
            <w:pPr>
              <w:rPr>
                <w:rFonts w:ascii="Times New Roman" w:eastAsia="Times New Roman" w:hAnsi="Times New Roman" w:cs="Times New Roman"/>
                <w:sz w:val="20"/>
                <w:szCs w:val="20"/>
              </w:rPr>
            </w:pPr>
          </w:p>
        </w:tc>
        <w:tc>
          <w:tcPr>
            <w:tcW w:w="150" w:type="dxa"/>
            <w:vAlign w:val="center"/>
            <w:hideMark/>
          </w:tcPr>
          <w:p w:rsidR="004C6586" w:rsidRDefault="004C6586" w:rsidP="000E49B0">
            <w:pPr>
              <w:rPr>
                <w:rFonts w:ascii="Times New Roman" w:eastAsia="Times New Roman" w:hAnsi="Times New Roman" w:cs="Times New Roman"/>
                <w:sz w:val="20"/>
                <w:szCs w:val="20"/>
              </w:rPr>
            </w:pPr>
          </w:p>
        </w:tc>
        <w:tc>
          <w:tcPr>
            <w:tcW w:w="150" w:type="dxa"/>
            <w:vAlign w:val="center"/>
            <w:hideMark/>
          </w:tcPr>
          <w:p w:rsidR="004C6586" w:rsidRDefault="004C6586" w:rsidP="000E49B0">
            <w:pPr>
              <w:rPr>
                <w:rFonts w:ascii="Times New Roman" w:eastAsia="Times New Roman" w:hAnsi="Times New Roman" w:cs="Times New Roman"/>
                <w:sz w:val="20"/>
                <w:szCs w:val="20"/>
              </w:rPr>
            </w:pPr>
          </w:p>
        </w:tc>
        <w:tc>
          <w:tcPr>
            <w:tcW w:w="1605" w:type="dxa"/>
            <w:vAlign w:val="center"/>
            <w:hideMark/>
          </w:tcPr>
          <w:p w:rsidR="004C6586" w:rsidRDefault="004C6586" w:rsidP="000E49B0">
            <w:pPr>
              <w:rPr>
                <w:rFonts w:ascii="Times New Roman" w:eastAsia="Times New Roman" w:hAnsi="Times New Roman" w:cs="Times New Roman"/>
                <w:sz w:val="20"/>
                <w:szCs w:val="20"/>
              </w:rPr>
            </w:pPr>
          </w:p>
        </w:tc>
        <w:tc>
          <w:tcPr>
            <w:tcW w:w="1665" w:type="dxa"/>
            <w:vAlign w:val="center"/>
            <w:hideMark/>
          </w:tcPr>
          <w:p w:rsidR="004C6586" w:rsidRDefault="004C6586" w:rsidP="000E49B0">
            <w:pPr>
              <w:rPr>
                <w:rFonts w:ascii="Times New Roman" w:eastAsia="Times New Roman" w:hAnsi="Times New Roman" w:cs="Times New Roman"/>
                <w:sz w:val="20"/>
                <w:szCs w:val="20"/>
              </w:rPr>
            </w:pPr>
          </w:p>
        </w:tc>
        <w:tc>
          <w:tcPr>
            <w:tcW w:w="1575" w:type="dxa"/>
            <w:vAlign w:val="center"/>
            <w:hideMark/>
          </w:tcPr>
          <w:p w:rsidR="004C6586" w:rsidRDefault="004C6586" w:rsidP="000E49B0">
            <w:pPr>
              <w:rPr>
                <w:rFonts w:ascii="Times New Roman" w:eastAsia="Times New Roman" w:hAnsi="Times New Roman" w:cs="Times New Roman"/>
                <w:sz w:val="20"/>
                <w:szCs w:val="20"/>
              </w:rPr>
            </w:pPr>
          </w:p>
        </w:tc>
      </w:tr>
    </w:tbl>
    <w:p w:rsidR="004C6586" w:rsidRDefault="004C6586" w:rsidP="004C6586">
      <w:pPr>
        <w:jc w:val="both"/>
      </w:pPr>
    </w:p>
    <w:p w:rsidR="004C6586" w:rsidRDefault="004C6586">
      <w:r>
        <w:br w:type="page"/>
      </w:r>
    </w:p>
    <w:p w:rsidR="00454B34" w:rsidRPr="0066560A" w:rsidRDefault="00454B34" w:rsidP="004C6586">
      <w:pPr>
        <w:pStyle w:val="Paragrafoelenco"/>
        <w:numPr>
          <w:ilvl w:val="0"/>
          <w:numId w:val="2"/>
        </w:numPr>
        <w:rPr>
          <w:b/>
          <w:i/>
        </w:rPr>
      </w:pPr>
      <w:r w:rsidRPr="0066560A">
        <w:rPr>
          <w:b/>
          <w:i/>
        </w:rPr>
        <w:lastRenderedPageBreak/>
        <w:t>I TAGLI E LE MANOVRE FINANZIARIE</w:t>
      </w:r>
    </w:p>
    <w:p w:rsidR="00270281" w:rsidRDefault="00454B34" w:rsidP="00454B34">
      <w:pPr>
        <w:jc w:val="both"/>
      </w:pPr>
      <w:r>
        <w:t xml:space="preserve">Nell’ultimo triennio le risorse delle Province sono state ridotte di </w:t>
      </w:r>
      <w:r w:rsidRPr="00454B34">
        <w:rPr>
          <w:b/>
          <w:sz w:val="24"/>
          <w:szCs w:val="24"/>
        </w:rPr>
        <w:t>2.115 milioni</w:t>
      </w:r>
      <w:r>
        <w:t xml:space="preserve"> (500 milioni ai sensi del decreto legge n. 78/10, 415 milioni come previsto dal decreto legge n.  201/11 ed infine 1200 a decorrere dal 2013 come previsto dal decreto legge n.  95/12). </w:t>
      </w:r>
    </w:p>
    <w:p w:rsidR="00454B34" w:rsidRDefault="00454B34" w:rsidP="00454B34">
      <w:pPr>
        <w:jc w:val="both"/>
      </w:pPr>
      <w:r>
        <w:t xml:space="preserve">La  </w:t>
      </w:r>
      <w:r w:rsidR="004C6586">
        <w:t>tabella che segue</w:t>
      </w:r>
      <w:r>
        <w:t xml:space="preserve"> evidenzia l’iniquità della </w:t>
      </w:r>
      <w:proofErr w:type="spellStart"/>
      <w:r w:rsidR="00270281">
        <w:t>spending</w:t>
      </w:r>
      <w:proofErr w:type="spellEnd"/>
      <w:r w:rsidR="00270281">
        <w:t xml:space="preserve"> </w:t>
      </w:r>
      <w:proofErr w:type="spellStart"/>
      <w:r w:rsidR="00270281">
        <w:t>review</w:t>
      </w:r>
      <w:proofErr w:type="spellEnd"/>
      <w:r>
        <w:t xml:space="preserve">, che incide per oltre il </w:t>
      </w:r>
      <w:r w:rsidR="000828A1" w:rsidRPr="00270281">
        <w:rPr>
          <w:b/>
        </w:rPr>
        <w:t>14</w:t>
      </w:r>
      <w:r w:rsidRPr="00270281">
        <w:rPr>
          <w:b/>
        </w:rPr>
        <w:t>%</w:t>
      </w:r>
      <w:r>
        <w:t xml:space="preserve"> su</w:t>
      </w:r>
      <w:r w:rsidR="000828A1">
        <w:t>lla spesa corrente</w:t>
      </w:r>
      <w:r>
        <w:t xml:space="preserve"> delle Province, a fron</w:t>
      </w:r>
      <w:r w:rsidR="000828A1">
        <w:t xml:space="preserve">te del </w:t>
      </w:r>
      <w:r w:rsidR="000828A1" w:rsidRPr="00270281">
        <w:rPr>
          <w:b/>
        </w:rPr>
        <w:t>4%</w:t>
      </w:r>
      <w:r w:rsidR="000828A1">
        <w:t xml:space="preserve"> di incidenza su quella</w:t>
      </w:r>
      <w:r>
        <w:t xml:space="preserve"> dei Comuni. </w:t>
      </w:r>
      <w:r w:rsidR="00270281">
        <w:t xml:space="preserve">La sperequazione aumenta in maniera esponenziale se si considera l’incidenza della </w:t>
      </w:r>
      <w:proofErr w:type="spellStart"/>
      <w:r w:rsidR="00270281">
        <w:t>spending</w:t>
      </w:r>
      <w:proofErr w:type="spellEnd"/>
      <w:r w:rsidR="00270281">
        <w:t xml:space="preserve"> </w:t>
      </w:r>
      <w:r w:rsidR="00270281" w:rsidRPr="00270281">
        <w:rPr>
          <w:b/>
        </w:rPr>
        <w:t>sui consumi intermedi</w:t>
      </w:r>
      <w:r w:rsidR="00270281">
        <w:t xml:space="preserve">, che per le Province si attesta in media oltre il </w:t>
      </w:r>
      <w:r w:rsidR="00270281" w:rsidRPr="00270281">
        <w:rPr>
          <w:b/>
          <w:sz w:val="24"/>
          <w:szCs w:val="24"/>
        </w:rPr>
        <w:t>31%</w:t>
      </w:r>
      <w:r w:rsidR="00270281">
        <w:t>, mente per i Comuni si ferma all’</w:t>
      </w:r>
      <w:r w:rsidR="00270281" w:rsidRPr="00270281">
        <w:rPr>
          <w:b/>
          <w:sz w:val="24"/>
          <w:szCs w:val="24"/>
        </w:rPr>
        <w:t>8%.</w:t>
      </w:r>
      <w:r w:rsidR="00270281">
        <w:t xml:space="preserve"> </w:t>
      </w:r>
    </w:p>
    <w:p w:rsidR="004C6586" w:rsidRDefault="004C6586" w:rsidP="00454B34">
      <w:pPr>
        <w:jc w:val="both"/>
      </w:pPr>
    </w:p>
    <w:tbl>
      <w:tblPr>
        <w:tblStyle w:val="Grigliatabella"/>
        <w:tblW w:w="0" w:type="auto"/>
        <w:tblLook w:val="04A0" w:firstRow="1" w:lastRow="0" w:firstColumn="1" w:lastColumn="0" w:noHBand="0" w:noVBand="1"/>
      </w:tblPr>
      <w:tblGrid>
        <w:gridCol w:w="1142"/>
        <w:gridCol w:w="1382"/>
        <w:gridCol w:w="1483"/>
        <w:gridCol w:w="1771"/>
        <w:gridCol w:w="1687"/>
        <w:gridCol w:w="2389"/>
      </w:tblGrid>
      <w:tr w:rsidR="00E5022D" w:rsidRPr="00FE4F9C" w:rsidTr="000E49B0">
        <w:trPr>
          <w:trHeight w:val="780"/>
        </w:trPr>
        <w:tc>
          <w:tcPr>
            <w:tcW w:w="1142" w:type="dxa"/>
            <w:hideMark/>
          </w:tcPr>
          <w:p w:rsidR="00E5022D" w:rsidRPr="00FE4F9C" w:rsidRDefault="00E5022D" w:rsidP="000E49B0">
            <w:r w:rsidRPr="00FE4F9C">
              <w:t> </w:t>
            </w:r>
          </w:p>
        </w:tc>
        <w:tc>
          <w:tcPr>
            <w:tcW w:w="1382" w:type="dxa"/>
            <w:hideMark/>
          </w:tcPr>
          <w:p w:rsidR="00E5022D" w:rsidRPr="00FE4F9C" w:rsidRDefault="00E5022D" w:rsidP="000E49B0">
            <w:r w:rsidRPr="00FE4F9C">
              <w:t xml:space="preserve">TAGLIO SPENDING 2013 </w:t>
            </w:r>
          </w:p>
        </w:tc>
        <w:tc>
          <w:tcPr>
            <w:tcW w:w="1483" w:type="dxa"/>
            <w:hideMark/>
          </w:tcPr>
          <w:p w:rsidR="00E5022D" w:rsidRPr="00FE4F9C" w:rsidRDefault="00E5022D" w:rsidP="000E49B0">
            <w:r w:rsidRPr="00FE4F9C">
              <w:t>CONSUMI INTERMEDI 2011</w:t>
            </w:r>
          </w:p>
        </w:tc>
        <w:tc>
          <w:tcPr>
            <w:tcW w:w="1771" w:type="dxa"/>
            <w:hideMark/>
          </w:tcPr>
          <w:p w:rsidR="00E5022D" w:rsidRPr="00FE4F9C" w:rsidRDefault="00E5022D" w:rsidP="000E49B0">
            <w:r w:rsidRPr="00FE4F9C">
              <w:t>SPESA CORRENTE 2011</w:t>
            </w:r>
          </w:p>
        </w:tc>
        <w:tc>
          <w:tcPr>
            <w:tcW w:w="1687" w:type="dxa"/>
            <w:hideMark/>
          </w:tcPr>
          <w:p w:rsidR="00E5022D" w:rsidRPr="00FE4F9C" w:rsidRDefault="00E5022D" w:rsidP="000E49B0">
            <w:r w:rsidRPr="00FE4F9C">
              <w:t>INCIDENZA % TAGLIO 2013 SU CONSUMI INTERMEDI</w:t>
            </w:r>
          </w:p>
        </w:tc>
        <w:tc>
          <w:tcPr>
            <w:tcW w:w="2389" w:type="dxa"/>
            <w:hideMark/>
          </w:tcPr>
          <w:p w:rsidR="00E5022D" w:rsidRPr="00FE4F9C" w:rsidRDefault="00E5022D" w:rsidP="000E49B0">
            <w:r w:rsidRPr="00FE4F9C">
              <w:t>INCIDENZA  %</w:t>
            </w:r>
            <w:r>
              <w:t xml:space="preserve"> </w:t>
            </w:r>
            <w:r w:rsidRPr="00FE4F9C">
              <w:t>TAGLIO 2013 SU SPESA CORRENTE</w:t>
            </w:r>
          </w:p>
        </w:tc>
      </w:tr>
      <w:tr w:rsidR="00E5022D" w:rsidRPr="00FE4F9C" w:rsidTr="000E49B0">
        <w:trPr>
          <w:trHeight w:val="315"/>
        </w:trPr>
        <w:tc>
          <w:tcPr>
            <w:tcW w:w="1142" w:type="dxa"/>
            <w:hideMark/>
          </w:tcPr>
          <w:p w:rsidR="00E5022D" w:rsidRPr="00FE4F9C" w:rsidRDefault="00E5022D" w:rsidP="000E49B0">
            <w:r w:rsidRPr="00FE4F9C">
              <w:t>COMUNI</w:t>
            </w:r>
          </w:p>
        </w:tc>
        <w:tc>
          <w:tcPr>
            <w:tcW w:w="1382" w:type="dxa"/>
            <w:hideMark/>
          </w:tcPr>
          <w:p w:rsidR="00E5022D" w:rsidRPr="00FE4F9C" w:rsidRDefault="00E5022D" w:rsidP="000E49B0">
            <w:pPr>
              <w:rPr>
                <w:sz w:val="20"/>
                <w:szCs w:val="20"/>
              </w:rPr>
            </w:pPr>
            <w:r w:rsidRPr="00FE4F9C">
              <w:rPr>
                <w:sz w:val="20"/>
                <w:szCs w:val="20"/>
              </w:rPr>
              <w:t>2.250.000.000</w:t>
            </w:r>
          </w:p>
        </w:tc>
        <w:tc>
          <w:tcPr>
            <w:tcW w:w="1483" w:type="dxa"/>
            <w:hideMark/>
          </w:tcPr>
          <w:p w:rsidR="00E5022D" w:rsidRPr="00FE4F9C" w:rsidRDefault="00E5022D" w:rsidP="000E49B0">
            <w:pPr>
              <w:rPr>
                <w:sz w:val="20"/>
                <w:szCs w:val="20"/>
              </w:rPr>
            </w:pPr>
            <w:r w:rsidRPr="00FE4F9C">
              <w:rPr>
                <w:sz w:val="20"/>
                <w:szCs w:val="20"/>
              </w:rPr>
              <w:t>25.896.336.502</w:t>
            </w:r>
          </w:p>
        </w:tc>
        <w:tc>
          <w:tcPr>
            <w:tcW w:w="1771" w:type="dxa"/>
            <w:hideMark/>
          </w:tcPr>
          <w:p w:rsidR="00E5022D" w:rsidRPr="00FE4F9C" w:rsidRDefault="00E5022D" w:rsidP="000E49B0">
            <w:pPr>
              <w:rPr>
                <w:sz w:val="20"/>
                <w:szCs w:val="20"/>
              </w:rPr>
            </w:pPr>
            <w:r w:rsidRPr="00FE4F9C">
              <w:rPr>
                <w:sz w:val="20"/>
                <w:szCs w:val="20"/>
              </w:rPr>
              <w:t>51.746.386.349</w:t>
            </w:r>
          </w:p>
        </w:tc>
        <w:tc>
          <w:tcPr>
            <w:tcW w:w="1687" w:type="dxa"/>
            <w:noWrap/>
            <w:hideMark/>
          </w:tcPr>
          <w:p w:rsidR="00E5022D" w:rsidRPr="00FE4F9C" w:rsidRDefault="00E5022D" w:rsidP="000E49B0">
            <w:pPr>
              <w:rPr>
                <w:sz w:val="20"/>
                <w:szCs w:val="20"/>
              </w:rPr>
            </w:pPr>
            <w:r w:rsidRPr="00FE4F9C">
              <w:rPr>
                <w:sz w:val="20"/>
                <w:szCs w:val="20"/>
              </w:rPr>
              <w:t>8,69</w:t>
            </w:r>
          </w:p>
        </w:tc>
        <w:tc>
          <w:tcPr>
            <w:tcW w:w="2389" w:type="dxa"/>
            <w:noWrap/>
            <w:hideMark/>
          </w:tcPr>
          <w:p w:rsidR="00E5022D" w:rsidRPr="00FE4F9C" w:rsidRDefault="00E5022D" w:rsidP="000E49B0">
            <w:pPr>
              <w:rPr>
                <w:sz w:val="20"/>
                <w:szCs w:val="20"/>
              </w:rPr>
            </w:pPr>
            <w:r w:rsidRPr="00FE4F9C">
              <w:rPr>
                <w:sz w:val="20"/>
                <w:szCs w:val="20"/>
              </w:rPr>
              <w:t>4,35</w:t>
            </w:r>
          </w:p>
        </w:tc>
      </w:tr>
      <w:tr w:rsidR="00E5022D" w:rsidRPr="00FE4F9C" w:rsidTr="000E49B0">
        <w:trPr>
          <w:trHeight w:val="315"/>
        </w:trPr>
        <w:tc>
          <w:tcPr>
            <w:tcW w:w="1142" w:type="dxa"/>
            <w:hideMark/>
          </w:tcPr>
          <w:p w:rsidR="00E5022D" w:rsidRPr="00FE4F9C" w:rsidRDefault="00E5022D" w:rsidP="000E49B0">
            <w:r w:rsidRPr="00FE4F9C">
              <w:t>PROVINCE</w:t>
            </w:r>
          </w:p>
        </w:tc>
        <w:tc>
          <w:tcPr>
            <w:tcW w:w="1382" w:type="dxa"/>
            <w:hideMark/>
          </w:tcPr>
          <w:p w:rsidR="00E5022D" w:rsidRPr="00FE4F9C" w:rsidRDefault="00E5022D" w:rsidP="000E49B0">
            <w:pPr>
              <w:rPr>
                <w:sz w:val="20"/>
                <w:szCs w:val="20"/>
              </w:rPr>
            </w:pPr>
            <w:r w:rsidRPr="00FE4F9C">
              <w:rPr>
                <w:sz w:val="20"/>
                <w:szCs w:val="20"/>
              </w:rPr>
              <w:t>1.200.000.000</w:t>
            </w:r>
          </w:p>
        </w:tc>
        <w:tc>
          <w:tcPr>
            <w:tcW w:w="1483" w:type="dxa"/>
            <w:hideMark/>
          </w:tcPr>
          <w:p w:rsidR="00E5022D" w:rsidRPr="00FE4F9C" w:rsidRDefault="00E5022D" w:rsidP="000E49B0">
            <w:pPr>
              <w:rPr>
                <w:sz w:val="20"/>
                <w:szCs w:val="20"/>
              </w:rPr>
            </w:pPr>
            <w:r w:rsidRPr="00FE4F9C">
              <w:rPr>
                <w:sz w:val="20"/>
                <w:szCs w:val="20"/>
              </w:rPr>
              <w:t>3.788.071.881</w:t>
            </w:r>
          </w:p>
        </w:tc>
        <w:tc>
          <w:tcPr>
            <w:tcW w:w="1771" w:type="dxa"/>
            <w:hideMark/>
          </w:tcPr>
          <w:p w:rsidR="00E5022D" w:rsidRPr="00FE4F9C" w:rsidRDefault="00E5022D" w:rsidP="000E49B0">
            <w:pPr>
              <w:rPr>
                <w:sz w:val="20"/>
                <w:szCs w:val="20"/>
              </w:rPr>
            </w:pPr>
            <w:r w:rsidRPr="00FE4F9C">
              <w:rPr>
                <w:sz w:val="20"/>
                <w:szCs w:val="20"/>
              </w:rPr>
              <w:t>8.454.118.892</w:t>
            </w:r>
          </w:p>
        </w:tc>
        <w:tc>
          <w:tcPr>
            <w:tcW w:w="1687" w:type="dxa"/>
            <w:noWrap/>
            <w:hideMark/>
          </w:tcPr>
          <w:p w:rsidR="00E5022D" w:rsidRPr="00FE4F9C" w:rsidRDefault="00E5022D" w:rsidP="000E49B0">
            <w:pPr>
              <w:rPr>
                <w:sz w:val="20"/>
                <w:szCs w:val="20"/>
              </w:rPr>
            </w:pPr>
            <w:r w:rsidRPr="00FE4F9C">
              <w:rPr>
                <w:sz w:val="20"/>
                <w:szCs w:val="20"/>
              </w:rPr>
              <w:t>31,68</w:t>
            </w:r>
          </w:p>
        </w:tc>
        <w:tc>
          <w:tcPr>
            <w:tcW w:w="2389" w:type="dxa"/>
            <w:noWrap/>
            <w:hideMark/>
          </w:tcPr>
          <w:p w:rsidR="00E5022D" w:rsidRPr="00FE4F9C" w:rsidRDefault="00E5022D" w:rsidP="000E49B0">
            <w:pPr>
              <w:rPr>
                <w:sz w:val="20"/>
                <w:szCs w:val="20"/>
              </w:rPr>
            </w:pPr>
            <w:r w:rsidRPr="00FE4F9C">
              <w:rPr>
                <w:sz w:val="20"/>
                <w:szCs w:val="20"/>
              </w:rPr>
              <w:t>14,19</w:t>
            </w:r>
          </w:p>
        </w:tc>
      </w:tr>
    </w:tbl>
    <w:p w:rsidR="00E5022D" w:rsidRDefault="004C6586" w:rsidP="00454B34">
      <w:pPr>
        <w:jc w:val="both"/>
        <w:rPr>
          <w:sz w:val="16"/>
          <w:szCs w:val="16"/>
        </w:rPr>
      </w:pPr>
      <w:r>
        <w:rPr>
          <w:sz w:val="16"/>
          <w:szCs w:val="16"/>
        </w:rPr>
        <w:t xml:space="preserve">Fonte: elaborazione </w:t>
      </w:r>
      <w:proofErr w:type="spellStart"/>
      <w:r>
        <w:rPr>
          <w:sz w:val="16"/>
          <w:szCs w:val="16"/>
        </w:rPr>
        <w:t>Upi</w:t>
      </w:r>
      <w:proofErr w:type="spellEnd"/>
      <w:r>
        <w:rPr>
          <w:sz w:val="16"/>
          <w:szCs w:val="16"/>
        </w:rPr>
        <w:t xml:space="preserve"> su dati </w:t>
      </w:r>
      <w:proofErr w:type="spellStart"/>
      <w:r>
        <w:rPr>
          <w:sz w:val="16"/>
          <w:szCs w:val="16"/>
        </w:rPr>
        <w:t>Siope</w:t>
      </w:r>
      <w:proofErr w:type="spellEnd"/>
    </w:p>
    <w:p w:rsidR="004C6586" w:rsidRDefault="004C6586" w:rsidP="00454B34">
      <w:pPr>
        <w:jc w:val="both"/>
        <w:rPr>
          <w:sz w:val="16"/>
          <w:szCs w:val="16"/>
        </w:rPr>
      </w:pPr>
    </w:p>
    <w:p w:rsidR="004C6586" w:rsidRPr="004C6586" w:rsidRDefault="004C6586" w:rsidP="00454B34">
      <w:pPr>
        <w:jc w:val="both"/>
        <w:rPr>
          <w:sz w:val="16"/>
          <w:szCs w:val="16"/>
        </w:rPr>
      </w:pPr>
    </w:p>
    <w:p w:rsidR="004C6586" w:rsidRPr="004C6586" w:rsidRDefault="004C6586" w:rsidP="004C6586">
      <w:pPr>
        <w:pStyle w:val="Paragrafoelenco"/>
        <w:numPr>
          <w:ilvl w:val="0"/>
          <w:numId w:val="2"/>
        </w:numPr>
        <w:rPr>
          <w:b/>
          <w:i/>
        </w:rPr>
      </w:pPr>
      <w:r w:rsidRPr="004C6586">
        <w:rPr>
          <w:b/>
          <w:i/>
        </w:rPr>
        <w:t>IL PATTO DI STABILITA’</w:t>
      </w:r>
    </w:p>
    <w:p w:rsidR="004C6586" w:rsidRDefault="004C6586" w:rsidP="004C6586">
      <w:pPr>
        <w:jc w:val="both"/>
      </w:pPr>
      <w:r>
        <w:t xml:space="preserve">Negli ultimi 5 anni il contributo delle Province alla tenuta del Patto si stabilità del Paese è stato di </w:t>
      </w:r>
      <w:r w:rsidRPr="004C6586">
        <w:rPr>
          <w:b/>
        </w:rPr>
        <w:t xml:space="preserve">quasi 5 miliardi. </w:t>
      </w:r>
      <w:r>
        <w:t xml:space="preserve">Sebbene negli anni il comparto sia sempre riuscito a raggiungere gli obiettivi assegnati, </w:t>
      </w:r>
      <w:r w:rsidRPr="008244D4">
        <w:rPr>
          <w:b/>
        </w:rPr>
        <w:t>nell’anno</w:t>
      </w:r>
      <w:r w:rsidRPr="00CF0F49">
        <w:rPr>
          <w:b/>
        </w:rPr>
        <w:t xml:space="preserve"> 2012 sono state ben 8 le Province che hanno sforato il patto di stabilità interno</w:t>
      </w:r>
      <w:r>
        <w:t xml:space="preserve">, per complessivi 64 milioni di euro. Nel 2010 e nel 2011 a sforare fu una sola Provincia. Il </w:t>
      </w:r>
      <w:r w:rsidRPr="00CF0F49">
        <w:rPr>
          <w:b/>
        </w:rPr>
        <w:t>picco</w:t>
      </w:r>
      <w:r>
        <w:t xml:space="preserve"> registrato nel 2012 non può quindi che destare </w:t>
      </w:r>
      <w:r w:rsidRPr="00CF0F49">
        <w:rPr>
          <w:b/>
        </w:rPr>
        <w:t>allarme</w:t>
      </w:r>
      <w:r>
        <w:rPr>
          <w:b/>
        </w:rPr>
        <w:t xml:space="preserve"> rispetto ad </w:t>
      </w:r>
      <w:r w:rsidRPr="00CF0F49">
        <w:rPr>
          <w:b/>
        </w:rPr>
        <w:t xml:space="preserve">progressivo </w:t>
      </w:r>
      <w:r>
        <w:rPr>
          <w:b/>
        </w:rPr>
        <w:t xml:space="preserve">scivolamento </w:t>
      </w:r>
      <w:r>
        <w:t xml:space="preserve">del comparto, che, se non arrestato, avrà ripercussioni immediate sulla tenuta complessiva dei conti pubblici, a partire dal 2013. </w:t>
      </w:r>
    </w:p>
    <w:p w:rsidR="004C6586" w:rsidRPr="00DF5844" w:rsidRDefault="004C6586" w:rsidP="004C6586">
      <w:pPr>
        <w:rPr>
          <w:b/>
          <w:i/>
        </w:rPr>
      </w:pPr>
    </w:p>
    <w:tbl>
      <w:tblPr>
        <w:tblStyle w:val="Grigliatabella"/>
        <w:tblW w:w="0" w:type="auto"/>
        <w:tblLook w:val="04A0" w:firstRow="1" w:lastRow="0" w:firstColumn="1" w:lastColumn="0" w:noHBand="0" w:noVBand="1"/>
      </w:tblPr>
      <w:tblGrid>
        <w:gridCol w:w="2943"/>
        <w:gridCol w:w="4395"/>
      </w:tblGrid>
      <w:tr w:rsidR="004C6586" w:rsidRPr="000405AC" w:rsidTr="000E49B0">
        <w:trPr>
          <w:trHeight w:val="300"/>
        </w:trPr>
        <w:tc>
          <w:tcPr>
            <w:tcW w:w="2943" w:type="dxa"/>
            <w:noWrap/>
            <w:hideMark/>
          </w:tcPr>
          <w:p w:rsidR="004C6586" w:rsidRPr="000405AC" w:rsidRDefault="004C6586" w:rsidP="000E49B0"/>
        </w:tc>
        <w:tc>
          <w:tcPr>
            <w:tcW w:w="4395" w:type="dxa"/>
            <w:noWrap/>
            <w:hideMark/>
          </w:tcPr>
          <w:p w:rsidR="004C6586" w:rsidRPr="000405AC" w:rsidRDefault="004C6586" w:rsidP="000E49B0">
            <w:pPr>
              <w:jc w:val="right"/>
            </w:pPr>
          </w:p>
        </w:tc>
      </w:tr>
      <w:tr w:rsidR="004C6586" w:rsidRPr="000405AC" w:rsidTr="000E49B0">
        <w:trPr>
          <w:trHeight w:val="300"/>
        </w:trPr>
        <w:tc>
          <w:tcPr>
            <w:tcW w:w="2943" w:type="dxa"/>
            <w:noWrap/>
            <w:hideMark/>
          </w:tcPr>
          <w:p w:rsidR="004C6586" w:rsidRPr="000405AC" w:rsidRDefault="004C6586" w:rsidP="000E49B0">
            <w:pPr>
              <w:jc w:val="center"/>
            </w:pPr>
            <w:r>
              <w:t>Anno</w:t>
            </w:r>
          </w:p>
        </w:tc>
        <w:tc>
          <w:tcPr>
            <w:tcW w:w="4395" w:type="dxa"/>
            <w:noWrap/>
            <w:hideMark/>
          </w:tcPr>
          <w:p w:rsidR="004C6586" w:rsidRPr="000405AC" w:rsidRDefault="004C6586" w:rsidP="000E49B0">
            <w:pPr>
              <w:jc w:val="center"/>
            </w:pPr>
            <w:r w:rsidRPr="000405AC">
              <w:t>saldo obiettivo</w:t>
            </w:r>
            <w:r>
              <w:t xml:space="preserve"> di comparto</w:t>
            </w:r>
          </w:p>
        </w:tc>
      </w:tr>
      <w:tr w:rsidR="004C6586" w:rsidRPr="000405AC" w:rsidTr="000E49B0">
        <w:trPr>
          <w:trHeight w:val="300"/>
        </w:trPr>
        <w:tc>
          <w:tcPr>
            <w:tcW w:w="2943" w:type="dxa"/>
            <w:noWrap/>
            <w:hideMark/>
          </w:tcPr>
          <w:p w:rsidR="004C6586" w:rsidRPr="000405AC" w:rsidRDefault="004C6586" w:rsidP="000E49B0">
            <w:r w:rsidRPr="000405AC">
              <w:t>2008</w:t>
            </w:r>
          </w:p>
        </w:tc>
        <w:tc>
          <w:tcPr>
            <w:tcW w:w="4395" w:type="dxa"/>
            <w:noWrap/>
            <w:hideMark/>
          </w:tcPr>
          <w:p w:rsidR="004C6586" w:rsidRPr="000405AC" w:rsidRDefault="004C6586" w:rsidP="000E49B0">
            <w:pPr>
              <w:jc w:val="right"/>
            </w:pPr>
            <w:r w:rsidRPr="000405AC">
              <w:t>-472</w:t>
            </w:r>
          </w:p>
        </w:tc>
      </w:tr>
      <w:tr w:rsidR="004C6586" w:rsidRPr="000405AC" w:rsidTr="000E49B0">
        <w:trPr>
          <w:trHeight w:val="300"/>
        </w:trPr>
        <w:tc>
          <w:tcPr>
            <w:tcW w:w="2943" w:type="dxa"/>
            <w:noWrap/>
            <w:hideMark/>
          </w:tcPr>
          <w:p w:rsidR="004C6586" w:rsidRPr="000405AC" w:rsidRDefault="004C6586" w:rsidP="000E49B0">
            <w:r w:rsidRPr="000405AC">
              <w:t>2009</w:t>
            </w:r>
          </w:p>
        </w:tc>
        <w:tc>
          <w:tcPr>
            <w:tcW w:w="4395" w:type="dxa"/>
            <w:noWrap/>
            <w:hideMark/>
          </w:tcPr>
          <w:p w:rsidR="004C6586" w:rsidRPr="000405AC" w:rsidRDefault="004C6586" w:rsidP="000E49B0">
            <w:pPr>
              <w:jc w:val="right"/>
            </w:pPr>
            <w:r w:rsidRPr="000405AC">
              <w:t>310</w:t>
            </w:r>
          </w:p>
        </w:tc>
      </w:tr>
      <w:tr w:rsidR="004C6586" w:rsidRPr="000405AC" w:rsidTr="000E49B0">
        <w:trPr>
          <w:trHeight w:val="300"/>
        </w:trPr>
        <w:tc>
          <w:tcPr>
            <w:tcW w:w="2943" w:type="dxa"/>
            <w:noWrap/>
            <w:hideMark/>
          </w:tcPr>
          <w:p w:rsidR="004C6586" w:rsidRPr="000405AC" w:rsidRDefault="004C6586" w:rsidP="000E49B0">
            <w:r w:rsidRPr="000405AC">
              <w:t>2010</w:t>
            </w:r>
          </w:p>
        </w:tc>
        <w:tc>
          <w:tcPr>
            <w:tcW w:w="4395" w:type="dxa"/>
            <w:noWrap/>
            <w:hideMark/>
          </w:tcPr>
          <w:p w:rsidR="004C6586" w:rsidRPr="000405AC" w:rsidRDefault="004C6586" w:rsidP="000E49B0">
            <w:pPr>
              <w:jc w:val="right"/>
            </w:pPr>
            <w:r w:rsidRPr="000405AC">
              <w:t>550</w:t>
            </w:r>
          </w:p>
        </w:tc>
      </w:tr>
      <w:tr w:rsidR="004C6586" w:rsidRPr="000405AC" w:rsidTr="000E49B0">
        <w:trPr>
          <w:trHeight w:val="300"/>
        </w:trPr>
        <w:tc>
          <w:tcPr>
            <w:tcW w:w="2943" w:type="dxa"/>
            <w:noWrap/>
            <w:hideMark/>
          </w:tcPr>
          <w:p w:rsidR="004C6586" w:rsidRPr="000405AC" w:rsidRDefault="004C6586" w:rsidP="000E49B0">
            <w:r w:rsidRPr="000405AC">
              <w:t>2011</w:t>
            </w:r>
          </w:p>
        </w:tc>
        <w:tc>
          <w:tcPr>
            <w:tcW w:w="4395" w:type="dxa"/>
            <w:noWrap/>
            <w:hideMark/>
          </w:tcPr>
          <w:p w:rsidR="004C6586" w:rsidRPr="000405AC" w:rsidRDefault="004C6586" w:rsidP="000E49B0">
            <w:pPr>
              <w:jc w:val="right"/>
            </w:pPr>
            <w:r w:rsidRPr="000405AC">
              <w:t>980</w:t>
            </w:r>
          </w:p>
        </w:tc>
      </w:tr>
      <w:tr w:rsidR="004C6586" w:rsidRPr="000405AC" w:rsidTr="000E49B0">
        <w:trPr>
          <w:trHeight w:val="300"/>
        </w:trPr>
        <w:tc>
          <w:tcPr>
            <w:tcW w:w="2943" w:type="dxa"/>
            <w:noWrap/>
            <w:hideMark/>
          </w:tcPr>
          <w:p w:rsidR="004C6586" w:rsidRPr="000405AC" w:rsidRDefault="004C6586" w:rsidP="000E49B0">
            <w:r w:rsidRPr="000405AC">
              <w:t>2012</w:t>
            </w:r>
          </w:p>
        </w:tc>
        <w:tc>
          <w:tcPr>
            <w:tcW w:w="4395" w:type="dxa"/>
            <w:noWrap/>
            <w:hideMark/>
          </w:tcPr>
          <w:p w:rsidR="004C6586" w:rsidRPr="000405AC" w:rsidRDefault="004C6586" w:rsidP="000E49B0">
            <w:pPr>
              <w:jc w:val="right"/>
            </w:pPr>
            <w:r w:rsidRPr="000405AC">
              <w:t>1</w:t>
            </w:r>
            <w:r>
              <w:t>.</w:t>
            </w:r>
            <w:r w:rsidRPr="000405AC">
              <w:t>660</w:t>
            </w:r>
          </w:p>
        </w:tc>
      </w:tr>
      <w:tr w:rsidR="004C6586" w:rsidRPr="000405AC" w:rsidTr="000E49B0">
        <w:trPr>
          <w:trHeight w:val="300"/>
        </w:trPr>
        <w:tc>
          <w:tcPr>
            <w:tcW w:w="2943" w:type="dxa"/>
            <w:noWrap/>
            <w:hideMark/>
          </w:tcPr>
          <w:p w:rsidR="004C6586" w:rsidRPr="000405AC" w:rsidRDefault="004C6586" w:rsidP="000E49B0">
            <w:r w:rsidRPr="000405AC">
              <w:t>2013</w:t>
            </w:r>
          </w:p>
        </w:tc>
        <w:tc>
          <w:tcPr>
            <w:tcW w:w="4395" w:type="dxa"/>
            <w:noWrap/>
            <w:hideMark/>
          </w:tcPr>
          <w:p w:rsidR="004C6586" w:rsidRPr="000405AC" w:rsidRDefault="004C6586" w:rsidP="000E49B0">
            <w:pPr>
              <w:jc w:val="right"/>
            </w:pPr>
            <w:r w:rsidRPr="000405AC">
              <w:t>1</w:t>
            </w:r>
            <w:r>
              <w:t>.</w:t>
            </w:r>
            <w:r w:rsidRPr="000405AC">
              <w:t>780</w:t>
            </w:r>
          </w:p>
        </w:tc>
      </w:tr>
    </w:tbl>
    <w:p w:rsidR="004C6586" w:rsidRDefault="004C6586" w:rsidP="004C6586">
      <w:pPr>
        <w:jc w:val="both"/>
      </w:pPr>
    </w:p>
    <w:p w:rsidR="004C6586" w:rsidRDefault="004C6586" w:rsidP="004C6586">
      <w:pPr>
        <w:jc w:val="both"/>
      </w:pPr>
      <w:r>
        <w:t xml:space="preserve"> </w:t>
      </w:r>
    </w:p>
    <w:p w:rsidR="004C6586" w:rsidRDefault="004C6586">
      <w:r>
        <w:br w:type="page"/>
      </w:r>
    </w:p>
    <w:p w:rsidR="004C6586" w:rsidRPr="004C6586" w:rsidRDefault="004C6586" w:rsidP="004C6586">
      <w:pPr>
        <w:pStyle w:val="Paragrafoelenco"/>
        <w:numPr>
          <w:ilvl w:val="0"/>
          <w:numId w:val="2"/>
        </w:numPr>
        <w:jc w:val="both"/>
        <w:rPr>
          <w:b/>
        </w:rPr>
      </w:pPr>
      <w:r w:rsidRPr="004C6586">
        <w:rPr>
          <w:b/>
          <w:i/>
        </w:rPr>
        <w:lastRenderedPageBreak/>
        <w:t>IL PRE-DISSESTO</w:t>
      </w:r>
    </w:p>
    <w:p w:rsidR="004C6586" w:rsidRDefault="004C6586" w:rsidP="004C6586">
      <w:pPr>
        <w:jc w:val="both"/>
      </w:pPr>
      <w:r>
        <w:t>Con l’introduzione, avvenuta con il dl 174/12, della fattispecie del “</w:t>
      </w:r>
      <w:proofErr w:type="spellStart"/>
      <w:r>
        <w:t>pre</w:t>
      </w:r>
      <w:proofErr w:type="spellEnd"/>
      <w:r>
        <w:t xml:space="preserve">-dissesto”, </w:t>
      </w:r>
      <w:r w:rsidRPr="004405ED">
        <w:rPr>
          <w:b/>
        </w:rPr>
        <w:t xml:space="preserve">già </w:t>
      </w:r>
      <w:r>
        <w:rPr>
          <w:b/>
        </w:rPr>
        <w:t>5</w:t>
      </w:r>
      <w:r w:rsidRPr="004405ED">
        <w:rPr>
          <w:b/>
        </w:rPr>
        <w:t xml:space="preserve"> province</w:t>
      </w:r>
      <w:r>
        <w:t xml:space="preserve"> hanno adottato un piano di riequilibrio, e due hanno addirittura chiesto di poter accedere al relativo fondo. Tale situazione, di fatto impensabile fino a pochi mesi fa, denuncia una crescente difficoltà degli enti a individuare un equilibrio finanziario a seguito delle progressive manovre finanziarie. </w:t>
      </w:r>
    </w:p>
    <w:p w:rsidR="00E5022D" w:rsidRDefault="004C6586" w:rsidP="004C6586">
      <w:pPr>
        <w:jc w:val="both"/>
        <w:rPr>
          <w:b/>
        </w:rPr>
      </w:pPr>
      <w:r>
        <w:t xml:space="preserve">La percezione chiara che emerge da un monitoraggio sugli enti è che già da quest’anno sono fortemente a rischio gli equilibri di bilancio con </w:t>
      </w:r>
      <w:r w:rsidRPr="00D455B8">
        <w:rPr>
          <w:b/>
        </w:rPr>
        <w:t>tutto quanto da questo ne deriva: impossibilità di programmare investimenti, impossibilità di garantire il raggiungimento degli obiettivi di patto, ma soprattutto impossibilità di garantire anche i servizi minimi alla collettività.</w:t>
      </w:r>
    </w:p>
    <w:p w:rsidR="004C6586" w:rsidRDefault="004C6586" w:rsidP="004C6586">
      <w:pPr>
        <w:jc w:val="both"/>
        <w:rPr>
          <w:b/>
        </w:rPr>
      </w:pPr>
    </w:p>
    <w:p w:rsidR="004C6586" w:rsidRPr="004C6586" w:rsidRDefault="004C6586" w:rsidP="004C6586">
      <w:pPr>
        <w:pStyle w:val="Paragrafoelenco"/>
        <w:numPr>
          <w:ilvl w:val="0"/>
          <w:numId w:val="2"/>
        </w:numPr>
        <w:rPr>
          <w:b/>
          <w:i/>
        </w:rPr>
      </w:pPr>
      <w:r w:rsidRPr="004C6586">
        <w:rPr>
          <w:b/>
          <w:i/>
        </w:rPr>
        <w:t>IL DEBITO</w:t>
      </w:r>
    </w:p>
    <w:p w:rsidR="004C6586" w:rsidRDefault="004C6586" w:rsidP="004C6586">
      <w:pPr>
        <w:rPr>
          <w:b/>
        </w:rPr>
      </w:pPr>
      <w:r>
        <w:t xml:space="preserve">Le Province hanno sensibilmente ridotto il loro debito . Giova anche in questo caso rappresentare la dinamica degli ultimi 30 mesi in confronto con gli altri livelli di governo. Come mostrato nella tabella che segue, la diminuzione delle Province è quella di maggiore entità </w:t>
      </w:r>
      <w:r w:rsidRPr="000828A1">
        <w:rPr>
          <w:b/>
        </w:rPr>
        <w:t>(-6,7%)</w:t>
      </w:r>
      <w:r>
        <w:rPr>
          <w:b/>
        </w:rPr>
        <w:t>.</w:t>
      </w:r>
    </w:p>
    <w:p w:rsidR="00EA7DAC" w:rsidRDefault="00EA7DAC" w:rsidP="004C6586">
      <w:pPr>
        <w:rPr>
          <w:b/>
        </w:rPr>
      </w:pPr>
    </w:p>
    <w:tbl>
      <w:tblPr>
        <w:tblStyle w:val="Grigliatabella"/>
        <w:tblW w:w="0" w:type="auto"/>
        <w:tblLook w:val="04A0" w:firstRow="1" w:lastRow="0" w:firstColumn="1" w:lastColumn="0" w:noHBand="0" w:noVBand="1"/>
      </w:tblPr>
      <w:tblGrid>
        <w:gridCol w:w="1739"/>
        <w:gridCol w:w="2008"/>
        <w:gridCol w:w="1941"/>
        <w:gridCol w:w="1941"/>
        <w:gridCol w:w="2225"/>
      </w:tblGrid>
      <w:tr w:rsidR="00EA7DAC" w:rsidRPr="00280C67" w:rsidTr="000E49B0">
        <w:trPr>
          <w:trHeight w:val="300"/>
        </w:trPr>
        <w:tc>
          <w:tcPr>
            <w:tcW w:w="1739" w:type="dxa"/>
            <w:noWrap/>
            <w:hideMark/>
          </w:tcPr>
          <w:p w:rsidR="00EA7DAC" w:rsidRPr="00280C67" w:rsidRDefault="00EA7DAC" w:rsidP="000E49B0">
            <w:r w:rsidRPr="00280C67">
              <w:t> </w:t>
            </w:r>
          </w:p>
        </w:tc>
        <w:tc>
          <w:tcPr>
            <w:tcW w:w="2008" w:type="dxa"/>
            <w:noWrap/>
            <w:hideMark/>
          </w:tcPr>
          <w:p w:rsidR="00EA7DAC" w:rsidRPr="00280C67" w:rsidRDefault="00EA7DAC" w:rsidP="000E49B0">
            <w:r w:rsidRPr="00280C67">
              <w:t>2011</w:t>
            </w:r>
          </w:p>
        </w:tc>
        <w:tc>
          <w:tcPr>
            <w:tcW w:w="1941" w:type="dxa"/>
            <w:noWrap/>
            <w:hideMark/>
          </w:tcPr>
          <w:p w:rsidR="00EA7DAC" w:rsidRPr="00280C67" w:rsidRDefault="00EA7DAC" w:rsidP="000E49B0">
            <w:r w:rsidRPr="00280C67">
              <w:t>2012</w:t>
            </w:r>
          </w:p>
        </w:tc>
        <w:tc>
          <w:tcPr>
            <w:tcW w:w="1941" w:type="dxa"/>
            <w:noWrap/>
            <w:hideMark/>
          </w:tcPr>
          <w:p w:rsidR="00EA7DAC" w:rsidRPr="00280C67" w:rsidRDefault="00EA7DAC" w:rsidP="000E49B0">
            <w:r w:rsidRPr="00280C67">
              <w:t>2013 (aprile)</w:t>
            </w:r>
          </w:p>
        </w:tc>
        <w:tc>
          <w:tcPr>
            <w:tcW w:w="2225" w:type="dxa"/>
            <w:noWrap/>
            <w:hideMark/>
          </w:tcPr>
          <w:p w:rsidR="00EA7DAC" w:rsidRPr="00280C67" w:rsidRDefault="00EA7DAC" w:rsidP="000E49B0">
            <w:r w:rsidRPr="00280C67">
              <w:t>variazione %</w:t>
            </w:r>
          </w:p>
        </w:tc>
      </w:tr>
      <w:tr w:rsidR="00EA7DAC" w:rsidRPr="00280C67" w:rsidTr="000E49B0">
        <w:trPr>
          <w:trHeight w:val="300"/>
        </w:trPr>
        <w:tc>
          <w:tcPr>
            <w:tcW w:w="1739" w:type="dxa"/>
            <w:noWrap/>
            <w:hideMark/>
          </w:tcPr>
          <w:p w:rsidR="00EA7DAC" w:rsidRPr="00280C67" w:rsidRDefault="00EA7DAC" w:rsidP="000E49B0">
            <w:r w:rsidRPr="00280C67">
              <w:t>regioni</w:t>
            </w:r>
          </w:p>
        </w:tc>
        <w:tc>
          <w:tcPr>
            <w:tcW w:w="2008" w:type="dxa"/>
            <w:noWrap/>
            <w:hideMark/>
          </w:tcPr>
          <w:p w:rsidR="00EA7DAC" w:rsidRPr="00280C67" w:rsidRDefault="00EA7DAC" w:rsidP="000E49B0">
            <w:r w:rsidRPr="00280C67">
              <w:t>40.981</w:t>
            </w:r>
          </w:p>
        </w:tc>
        <w:tc>
          <w:tcPr>
            <w:tcW w:w="1941" w:type="dxa"/>
            <w:noWrap/>
            <w:hideMark/>
          </w:tcPr>
          <w:p w:rsidR="00EA7DAC" w:rsidRPr="00280C67" w:rsidRDefault="00EA7DAC" w:rsidP="000E49B0">
            <w:r w:rsidRPr="00280C67">
              <w:t>41.000</w:t>
            </w:r>
          </w:p>
        </w:tc>
        <w:tc>
          <w:tcPr>
            <w:tcW w:w="1941" w:type="dxa"/>
            <w:noWrap/>
            <w:hideMark/>
          </w:tcPr>
          <w:p w:rsidR="00EA7DAC" w:rsidRPr="00280C67" w:rsidRDefault="00EA7DAC" w:rsidP="000E49B0">
            <w:r w:rsidRPr="00280C67">
              <w:t>41.393</w:t>
            </w:r>
          </w:p>
        </w:tc>
        <w:tc>
          <w:tcPr>
            <w:tcW w:w="2225" w:type="dxa"/>
            <w:noWrap/>
            <w:hideMark/>
          </w:tcPr>
          <w:p w:rsidR="00EA7DAC" w:rsidRPr="00280C67" w:rsidRDefault="00EA7DAC" w:rsidP="000E49B0">
            <w:r w:rsidRPr="00280C67">
              <w:t>1,01</w:t>
            </w:r>
          </w:p>
        </w:tc>
      </w:tr>
      <w:tr w:rsidR="00EA7DAC" w:rsidRPr="00280C67" w:rsidTr="000E49B0">
        <w:trPr>
          <w:trHeight w:val="300"/>
        </w:trPr>
        <w:tc>
          <w:tcPr>
            <w:tcW w:w="1739" w:type="dxa"/>
            <w:noWrap/>
            <w:hideMark/>
          </w:tcPr>
          <w:p w:rsidR="00EA7DAC" w:rsidRPr="00280C67" w:rsidRDefault="00EA7DAC" w:rsidP="000E49B0">
            <w:r w:rsidRPr="00280C67">
              <w:t>province</w:t>
            </w:r>
          </w:p>
        </w:tc>
        <w:tc>
          <w:tcPr>
            <w:tcW w:w="2008" w:type="dxa"/>
            <w:noWrap/>
            <w:hideMark/>
          </w:tcPr>
          <w:p w:rsidR="00EA7DAC" w:rsidRPr="00280C67" w:rsidRDefault="00EA7DAC" w:rsidP="000E49B0">
            <w:r w:rsidRPr="00280C67">
              <w:t>9.169</w:t>
            </w:r>
          </w:p>
        </w:tc>
        <w:tc>
          <w:tcPr>
            <w:tcW w:w="1941" w:type="dxa"/>
            <w:noWrap/>
            <w:hideMark/>
          </w:tcPr>
          <w:p w:rsidR="00EA7DAC" w:rsidRPr="00280C67" w:rsidRDefault="00EA7DAC" w:rsidP="000E49B0">
            <w:r w:rsidRPr="00280C67">
              <w:t>8.904</w:t>
            </w:r>
          </w:p>
        </w:tc>
        <w:tc>
          <w:tcPr>
            <w:tcW w:w="1941" w:type="dxa"/>
            <w:noWrap/>
            <w:hideMark/>
          </w:tcPr>
          <w:p w:rsidR="00EA7DAC" w:rsidRPr="00280C67" w:rsidRDefault="00EA7DAC" w:rsidP="000E49B0">
            <w:r w:rsidRPr="00280C67">
              <w:t>8.550</w:t>
            </w:r>
          </w:p>
        </w:tc>
        <w:tc>
          <w:tcPr>
            <w:tcW w:w="2225" w:type="dxa"/>
            <w:noWrap/>
            <w:hideMark/>
          </w:tcPr>
          <w:p w:rsidR="00EA7DAC" w:rsidRPr="00280C67" w:rsidRDefault="00EA7DAC" w:rsidP="000E49B0">
            <w:r w:rsidRPr="00280C67">
              <w:t>-6,75</w:t>
            </w:r>
          </w:p>
        </w:tc>
      </w:tr>
      <w:tr w:rsidR="00EA7DAC" w:rsidRPr="00280C67" w:rsidTr="000E49B0">
        <w:trPr>
          <w:trHeight w:val="300"/>
        </w:trPr>
        <w:tc>
          <w:tcPr>
            <w:tcW w:w="1739" w:type="dxa"/>
            <w:noWrap/>
            <w:hideMark/>
          </w:tcPr>
          <w:p w:rsidR="00EA7DAC" w:rsidRPr="00280C67" w:rsidRDefault="00EA7DAC" w:rsidP="000E49B0">
            <w:r w:rsidRPr="00280C67">
              <w:t>comuni</w:t>
            </w:r>
          </w:p>
        </w:tc>
        <w:tc>
          <w:tcPr>
            <w:tcW w:w="2008" w:type="dxa"/>
            <w:noWrap/>
            <w:hideMark/>
          </w:tcPr>
          <w:p w:rsidR="00EA7DAC" w:rsidRPr="00280C67" w:rsidRDefault="00EA7DAC" w:rsidP="000E49B0">
            <w:r w:rsidRPr="00280C67">
              <w:t>50.109</w:t>
            </w:r>
          </w:p>
        </w:tc>
        <w:tc>
          <w:tcPr>
            <w:tcW w:w="1941" w:type="dxa"/>
            <w:noWrap/>
            <w:hideMark/>
          </w:tcPr>
          <w:p w:rsidR="00EA7DAC" w:rsidRPr="00280C67" w:rsidRDefault="00EA7DAC" w:rsidP="000E49B0">
            <w:r w:rsidRPr="00280C67">
              <w:t>48.743</w:t>
            </w:r>
          </w:p>
        </w:tc>
        <w:tc>
          <w:tcPr>
            <w:tcW w:w="1941" w:type="dxa"/>
            <w:noWrap/>
            <w:hideMark/>
          </w:tcPr>
          <w:p w:rsidR="00EA7DAC" w:rsidRPr="00280C67" w:rsidRDefault="00EA7DAC" w:rsidP="000E49B0">
            <w:r w:rsidRPr="00280C67">
              <w:t>48.112</w:t>
            </w:r>
          </w:p>
        </w:tc>
        <w:tc>
          <w:tcPr>
            <w:tcW w:w="2225" w:type="dxa"/>
            <w:noWrap/>
            <w:hideMark/>
          </w:tcPr>
          <w:p w:rsidR="00EA7DAC" w:rsidRPr="00280C67" w:rsidRDefault="00EA7DAC" w:rsidP="000E49B0">
            <w:r w:rsidRPr="00280C67">
              <w:t>-3,99</w:t>
            </w:r>
          </w:p>
        </w:tc>
      </w:tr>
      <w:tr w:rsidR="00EA7DAC" w:rsidRPr="00280C67" w:rsidTr="000E49B0">
        <w:trPr>
          <w:trHeight w:val="300"/>
        </w:trPr>
        <w:tc>
          <w:tcPr>
            <w:tcW w:w="1739" w:type="dxa"/>
            <w:noWrap/>
            <w:hideMark/>
          </w:tcPr>
          <w:p w:rsidR="00EA7DAC" w:rsidRPr="00280C67" w:rsidRDefault="00EA7DAC" w:rsidP="000E49B0">
            <w:r w:rsidRPr="00280C67">
              <w:t>Stato centrale</w:t>
            </w:r>
          </w:p>
        </w:tc>
        <w:tc>
          <w:tcPr>
            <w:tcW w:w="2008" w:type="dxa"/>
            <w:noWrap/>
            <w:hideMark/>
          </w:tcPr>
          <w:p w:rsidR="00EA7DAC" w:rsidRPr="00280C67" w:rsidRDefault="00EA7DAC" w:rsidP="000E49B0">
            <w:r w:rsidRPr="00280C67">
              <w:t>1.798.480</w:t>
            </w:r>
          </w:p>
        </w:tc>
        <w:tc>
          <w:tcPr>
            <w:tcW w:w="1941" w:type="dxa"/>
            <w:noWrap/>
            <w:hideMark/>
          </w:tcPr>
          <w:p w:rsidR="00EA7DAC" w:rsidRPr="00280C67" w:rsidRDefault="00EA7DAC" w:rsidP="000E49B0">
            <w:r w:rsidRPr="00280C67">
              <w:t>1.881.521</w:t>
            </w:r>
          </w:p>
        </w:tc>
        <w:tc>
          <w:tcPr>
            <w:tcW w:w="1941" w:type="dxa"/>
            <w:noWrap/>
            <w:hideMark/>
          </w:tcPr>
          <w:p w:rsidR="00EA7DAC" w:rsidRPr="00280C67" w:rsidRDefault="00EA7DAC" w:rsidP="000E49B0">
            <w:r w:rsidRPr="00280C67">
              <w:t>1.934.324</w:t>
            </w:r>
          </w:p>
        </w:tc>
        <w:tc>
          <w:tcPr>
            <w:tcW w:w="2225" w:type="dxa"/>
            <w:noWrap/>
            <w:hideMark/>
          </w:tcPr>
          <w:p w:rsidR="00EA7DAC" w:rsidRPr="00280C67" w:rsidRDefault="00EA7DAC" w:rsidP="000E49B0">
            <w:r w:rsidRPr="00280C67">
              <w:t>7,55</w:t>
            </w:r>
          </w:p>
        </w:tc>
      </w:tr>
    </w:tbl>
    <w:p w:rsidR="00EA7DAC" w:rsidRPr="008F4630" w:rsidRDefault="00EA7DAC" w:rsidP="00EA7DAC">
      <w:pPr>
        <w:rPr>
          <w:sz w:val="16"/>
          <w:szCs w:val="16"/>
        </w:rPr>
      </w:pPr>
      <w:r w:rsidRPr="008F4630">
        <w:rPr>
          <w:sz w:val="16"/>
          <w:szCs w:val="16"/>
        </w:rPr>
        <w:t>Fonte Banca d’Italia</w:t>
      </w:r>
    </w:p>
    <w:p w:rsidR="00EA7DAC" w:rsidRDefault="00EA7DAC" w:rsidP="004C6586">
      <w:pPr>
        <w:rPr>
          <w:b/>
        </w:rPr>
      </w:pPr>
    </w:p>
    <w:p w:rsidR="00CF0F49" w:rsidRDefault="00CF0F49" w:rsidP="00CF0F49">
      <w:pPr>
        <w:rPr>
          <w:b/>
        </w:rPr>
      </w:pPr>
    </w:p>
    <w:p w:rsidR="00CF0F49" w:rsidRPr="0066560A" w:rsidRDefault="00CF0F49" w:rsidP="004C6586">
      <w:pPr>
        <w:pStyle w:val="Paragrafoelenco"/>
        <w:numPr>
          <w:ilvl w:val="0"/>
          <w:numId w:val="2"/>
        </w:numPr>
        <w:rPr>
          <w:b/>
          <w:i/>
        </w:rPr>
      </w:pPr>
      <w:r w:rsidRPr="0066560A">
        <w:rPr>
          <w:b/>
          <w:i/>
        </w:rPr>
        <w:t>PAGAMENTI DEBITI DELLA PA</w:t>
      </w:r>
    </w:p>
    <w:p w:rsidR="00CF0F49" w:rsidRDefault="00CF0F49" w:rsidP="00CF0F49">
      <w:pPr>
        <w:jc w:val="both"/>
      </w:pPr>
      <w:r>
        <w:t xml:space="preserve">Il recente decreto legge n. 35/13 ha consentito di ridurre ed alleviare gli effetti distorsivi del patto di stabilità interno che, come è noto, incidono negativamente sulla cassa delle spese in conto capitale. Le Province, che </w:t>
      </w:r>
      <w:r w:rsidRPr="00B9271C">
        <w:rPr>
          <w:b/>
        </w:rPr>
        <w:t>a fronte di 4500 milioni</w:t>
      </w:r>
      <w:r>
        <w:t xml:space="preserve"> messi a disposizione dal Ministero dell’Economia, si son viste riconoscere </w:t>
      </w:r>
      <w:r w:rsidRPr="00B9271C">
        <w:rPr>
          <w:b/>
        </w:rPr>
        <w:t>circa 1 miliardo di spazi finanziari</w:t>
      </w:r>
      <w:r>
        <w:t xml:space="preserve">, ed ora confidano nel fatto che a completamento delle procedure, nel mese di luglio 2013, </w:t>
      </w:r>
      <w:r w:rsidRPr="00B9271C">
        <w:rPr>
          <w:b/>
        </w:rPr>
        <w:t>possano accedere agli ulteriori spazi per 200 milioni circa</w:t>
      </w:r>
      <w:r>
        <w:t xml:space="preserve">, richiesti ma non assegnati </w:t>
      </w:r>
    </w:p>
    <w:p w:rsidR="00CF0F49" w:rsidRDefault="00CF0F49" w:rsidP="00CF0F49">
      <w:pPr>
        <w:jc w:val="both"/>
      </w:pPr>
      <w:r>
        <w:t xml:space="preserve">Le Province, unico comparto, sono state monitorate da UPI e allo stato attuale a meno di un mese della conversione del decreto, hanno già saldato le imprese per un importo pari al </w:t>
      </w:r>
      <w:r w:rsidRPr="004C6586">
        <w:rPr>
          <w:b/>
          <w:sz w:val="24"/>
          <w:szCs w:val="24"/>
        </w:rPr>
        <w:t>60%</w:t>
      </w:r>
      <w:r>
        <w:t xml:space="preserve"> degli spazi assegnati, e stanno procedendo speditamente al completamento dei pagamenti. </w:t>
      </w:r>
      <w:r w:rsidR="00D455B8">
        <w:t xml:space="preserve">D’altronde il settore degli investimenti è quello che maggiormente qualifica e determina il campo di attività delle Province e dunque l’intervento normativo posto in atto dal decreto legge n. 35/13 ha rappresentato una importante opportunità per il comparto. </w:t>
      </w:r>
    </w:p>
    <w:p w:rsidR="00D455B8" w:rsidRDefault="00D455B8" w:rsidP="00CF0F49">
      <w:pPr>
        <w:jc w:val="both"/>
      </w:pPr>
    </w:p>
    <w:p w:rsidR="00CF0F49" w:rsidRPr="0066560A" w:rsidRDefault="00CF0F49" w:rsidP="004C6586">
      <w:pPr>
        <w:pStyle w:val="Paragrafoelenco"/>
        <w:numPr>
          <w:ilvl w:val="0"/>
          <w:numId w:val="2"/>
        </w:numPr>
        <w:rPr>
          <w:b/>
          <w:i/>
        </w:rPr>
      </w:pPr>
      <w:r w:rsidRPr="0066560A">
        <w:rPr>
          <w:b/>
          <w:i/>
        </w:rPr>
        <w:lastRenderedPageBreak/>
        <w:t>RESIDUI PERENTI</w:t>
      </w:r>
      <w:r w:rsidR="004C6586">
        <w:rPr>
          <w:b/>
          <w:i/>
        </w:rPr>
        <w:t xml:space="preserve"> ATTIVI DA STATO</w:t>
      </w:r>
    </w:p>
    <w:p w:rsidR="00CF0F49" w:rsidRDefault="00CF0F49" w:rsidP="00CF0F49">
      <w:pPr>
        <w:jc w:val="both"/>
      </w:pPr>
      <w:r>
        <w:t xml:space="preserve">Le Province sono inoltre creditrici nei confronti dell’erario per oltre </w:t>
      </w:r>
      <w:r w:rsidRPr="00B9271C">
        <w:rPr>
          <w:b/>
        </w:rPr>
        <w:t>2,5 miliardi di euro</w:t>
      </w:r>
      <w:r>
        <w:t xml:space="preserve"> (dati al 1.1.2013). Si tratta di somme dovute agli enti a titolo di trasferimento erariale per gli anni pregressi  ma mai erogati per il vincolo del limite di giacenza di tesoreria, ora abrogato. La stretta finanziaria delle Province ha costretto gli enti a procedere a decreti ingiuntivi per vedersi riconoscere tali somme, ora più che mai necessarie. </w:t>
      </w:r>
    </w:p>
    <w:p w:rsidR="00D455B8" w:rsidRDefault="00D455B8" w:rsidP="00CF0F49">
      <w:pPr>
        <w:jc w:val="both"/>
      </w:pPr>
    </w:p>
    <w:p w:rsidR="00CF0F49" w:rsidRPr="0066560A" w:rsidRDefault="00CF0F49" w:rsidP="004C6586">
      <w:pPr>
        <w:pStyle w:val="Paragrafoelenco"/>
        <w:numPr>
          <w:ilvl w:val="0"/>
          <w:numId w:val="2"/>
        </w:numPr>
        <w:rPr>
          <w:b/>
          <w:i/>
        </w:rPr>
      </w:pPr>
      <w:r w:rsidRPr="0066560A">
        <w:rPr>
          <w:b/>
          <w:i/>
        </w:rPr>
        <w:t xml:space="preserve">RESIDUI </w:t>
      </w:r>
      <w:r w:rsidR="004C6586">
        <w:rPr>
          <w:b/>
          <w:i/>
        </w:rPr>
        <w:t xml:space="preserve">ATTIVI </w:t>
      </w:r>
      <w:r w:rsidRPr="0066560A">
        <w:rPr>
          <w:b/>
          <w:i/>
        </w:rPr>
        <w:t>D</w:t>
      </w:r>
      <w:r w:rsidR="004C6586">
        <w:rPr>
          <w:b/>
          <w:i/>
        </w:rPr>
        <w:t>A</w:t>
      </w:r>
      <w:r w:rsidRPr="0066560A">
        <w:rPr>
          <w:b/>
          <w:i/>
        </w:rPr>
        <w:t>LLE REGIONI</w:t>
      </w:r>
    </w:p>
    <w:p w:rsidR="00CF0F49" w:rsidRDefault="00CF0F49" w:rsidP="00CF0F49">
      <w:pPr>
        <w:jc w:val="both"/>
      </w:pPr>
      <w:r>
        <w:t xml:space="preserve">Le Province, oltre alla riduzione di risorse operata dal succedersi di manovre finanziarie, devono anche fronteggiare la difficoltà a vedersi riconoscere le somme relative a funzioni trasferite da parte delle Regioni. </w:t>
      </w:r>
      <w:r w:rsidRPr="004405ED">
        <w:rPr>
          <w:b/>
        </w:rPr>
        <w:t xml:space="preserve">Attualmente da una ricognizione UPI nei bilanci delle Province, a fine 2012, sono registrati oltre 5 miliardi di residui attivi ancora da incassare, 2 </w:t>
      </w:r>
      <w:r w:rsidR="008C2F02">
        <w:rPr>
          <w:b/>
        </w:rPr>
        <w:t xml:space="preserve">miliardi </w:t>
      </w:r>
      <w:r w:rsidRPr="004405ED">
        <w:rPr>
          <w:b/>
        </w:rPr>
        <w:t xml:space="preserve">di parte corrente e 3 </w:t>
      </w:r>
      <w:r w:rsidR="008C2F02">
        <w:rPr>
          <w:b/>
        </w:rPr>
        <w:t xml:space="preserve">miliardi </w:t>
      </w:r>
      <w:r w:rsidRPr="004405ED">
        <w:rPr>
          <w:b/>
        </w:rPr>
        <w:t>per investimenti</w:t>
      </w:r>
      <w:r>
        <w:t xml:space="preserve">. </w:t>
      </w:r>
    </w:p>
    <w:p w:rsidR="00D455B8" w:rsidRDefault="00D455B8" w:rsidP="00CF0F49">
      <w:pPr>
        <w:jc w:val="both"/>
      </w:pPr>
      <w:r>
        <w:t xml:space="preserve">Si tratta di somme che le Province hanno anticipato per i seguenti settori: formazione professionale e servizi per il collocamento, trasporto pubblico locale, tutela del territorio e messa in sicurezza dal rischio idrogeologico, bonifiche, ecc. </w:t>
      </w:r>
    </w:p>
    <w:p w:rsidR="00CF0F49" w:rsidRDefault="00CF0F49" w:rsidP="00CF0F49">
      <w:pPr>
        <w:jc w:val="both"/>
      </w:pPr>
      <w:r>
        <w:t>Questa situazione non può più essere sostenuta oltre, anche a fronte di quanto sta emergendo in questi giorni, e cioè del fatto che nei bilanci delle Regioni i residui passivi non sono congruenti con i residui attivi registrati nei bilanci delle Province.</w:t>
      </w:r>
    </w:p>
    <w:p w:rsidR="001824EC" w:rsidRDefault="001824EC">
      <w:r>
        <w:br w:type="page"/>
      </w:r>
    </w:p>
    <w:p w:rsidR="00D85FCB" w:rsidRDefault="00D85FCB" w:rsidP="00454B34">
      <w:pPr>
        <w:spacing w:after="0" w:line="240" w:lineRule="auto"/>
        <w:jc w:val="center"/>
        <w:rPr>
          <w:b/>
          <w:i/>
        </w:rPr>
      </w:pPr>
      <w:r>
        <w:rPr>
          <w:b/>
          <w:i/>
        </w:rPr>
        <w:lastRenderedPageBreak/>
        <w:t>LE RICHIESTE</w:t>
      </w:r>
    </w:p>
    <w:p w:rsidR="00D85FCB" w:rsidRDefault="00D85FCB">
      <w:pPr>
        <w:rPr>
          <w:b/>
          <w:i/>
        </w:rPr>
      </w:pPr>
    </w:p>
    <w:p w:rsidR="00D85FCB" w:rsidRDefault="00D85FCB" w:rsidP="000E08FB">
      <w:pPr>
        <w:jc w:val="both"/>
      </w:pPr>
      <w:r>
        <w:t>Il quadro sin qui sinteticamente riportato di fatto denuncia la riduzione, ai minimi termini, delle capacità di investimento delle Province, il livello di governo che più di altri è sempre stato vocato alla infrastrutturazione del territorio, basti pensare all’edilizia scolastica (oltre 5000 edifici), alla viabilità (130 mila km), e a tutti gli interventi di messa in sicurezza del territorio (dalle bonifiche dei siti inquinati, alla manutenzione del reticolo idrico e alla pianificazione dell’area vasta).</w:t>
      </w:r>
    </w:p>
    <w:p w:rsidR="00D85FCB" w:rsidRDefault="00D85FCB" w:rsidP="000E08FB">
      <w:pPr>
        <w:jc w:val="both"/>
      </w:pPr>
      <w:r>
        <w:t>L’UPI ritiene invece che tale ruolo possa e debba essere recuperato attraverso scelte che il Governo, si auspica, potrà compiere attraverso opportuni interventi legislativi già nell’anno in corso.</w:t>
      </w:r>
    </w:p>
    <w:p w:rsidR="00D85FCB" w:rsidRDefault="00D85FCB" w:rsidP="00D455B8">
      <w:pPr>
        <w:pStyle w:val="Paragrafoelenco"/>
        <w:numPr>
          <w:ilvl w:val="0"/>
          <w:numId w:val="3"/>
        </w:numPr>
        <w:jc w:val="both"/>
      </w:pPr>
      <w:r>
        <w:t xml:space="preserve">Innanzitutto occorre </w:t>
      </w:r>
      <w:r w:rsidRPr="00D455B8">
        <w:rPr>
          <w:b/>
        </w:rPr>
        <w:t xml:space="preserve">rivedere il taglio operato dalla </w:t>
      </w:r>
      <w:proofErr w:type="spellStart"/>
      <w:r w:rsidRPr="00D455B8">
        <w:rPr>
          <w:b/>
        </w:rPr>
        <w:t>spending</w:t>
      </w:r>
      <w:proofErr w:type="spellEnd"/>
      <w:r w:rsidRPr="00D455B8">
        <w:rPr>
          <w:b/>
        </w:rPr>
        <w:t xml:space="preserve"> </w:t>
      </w:r>
      <w:proofErr w:type="spellStart"/>
      <w:r w:rsidRPr="00D455B8">
        <w:rPr>
          <w:b/>
        </w:rPr>
        <w:t>review</w:t>
      </w:r>
      <w:proofErr w:type="spellEnd"/>
      <w:r w:rsidRPr="00D455B8">
        <w:rPr>
          <w:b/>
        </w:rPr>
        <w:t>: 1,2 miliardi di euro è oggettivamente insostenibile per il comparto;</w:t>
      </w:r>
      <w:r>
        <w:t xml:space="preserve"> peraltro, le risorse così rese disponibili potrebbero essere </w:t>
      </w:r>
      <w:r w:rsidRPr="00D455B8">
        <w:rPr>
          <w:u w:val="single"/>
        </w:rPr>
        <w:t>vincolate alla spesa in conto capitale</w:t>
      </w:r>
      <w:r>
        <w:t>, proprio per garantire il ruolo proprio delle Province nelle dinamiche di investimento.</w:t>
      </w:r>
    </w:p>
    <w:p w:rsidR="00D85FCB" w:rsidRDefault="00D85FCB" w:rsidP="00D455B8">
      <w:pPr>
        <w:pStyle w:val="Paragrafoelenco"/>
        <w:numPr>
          <w:ilvl w:val="0"/>
          <w:numId w:val="3"/>
        </w:numPr>
        <w:jc w:val="both"/>
      </w:pPr>
      <w:r>
        <w:t>In questo frangente, in attesa di una rivisitazione delle regole del patto di stabilità interno (i cui esiti sono ormai sotto gli occhi di tutti) il Governo dovrebbe garantire una sorta di “</w:t>
      </w:r>
      <w:proofErr w:type="spellStart"/>
      <w:r w:rsidRPr="00D455B8">
        <w:rPr>
          <w:b/>
        </w:rPr>
        <w:t>golden</w:t>
      </w:r>
      <w:proofErr w:type="spellEnd"/>
      <w:r w:rsidRPr="00D455B8">
        <w:rPr>
          <w:b/>
        </w:rPr>
        <w:t xml:space="preserve"> </w:t>
      </w:r>
      <w:proofErr w:type="spellStart"/>
      <w:r w:rsidRPr="00D455B8">
        <w:rPr>
          <w:b/>
        </w:rPr>
        <w:t>rule</w:t>
      </w:r>
      <w:proofErr w:type="spellEnd"/>
      <w:r w:rsidRPr="00D455B8">
        <w:rPr>
          <w:b/>
        </w:rPr>
        <w:t>” per alcune specifiche voci di spesa in conto capitale, e cioè scuole e viabilità.</w:t>
      </w:r>
    </w:p>
    <w:p w:rsidR="00D85FCB" w:rsidRPr="00D455B8" w:rsidRDefault="00D85FCB" w:rsidP="00D455B8">
      <w:pPr>
        <w:pStyle w:val="Paragrafoelenco"/>
        <w:numPr>
          <w:ilvl w:val="0"/>
          <w:numId w:val="3"/>
        </w:numPr>
        <w:jc w:val="both"/>
        <w:rPr>
          <w:b/>
        </w:rPr>
      </w:pPr>
      <w:r>
        <w:t xml:space="preserve">L’UPI ritiene altresì necessario </w:t>
      </w:r>
      <w:r w:rsidRPr="00D455B8">
        <w:rPr>
          <w:b/>
        </w:rPr>
        <w:t xml:space="preserve">che il Governo intervenga a garantire una corretto flusso finanziario tra le Regioni e le Province: </w:t>
      </w:r>
      <w:r>
        <w:t xml:space="preserve">gli oltre 5 miliardi di residui attivi che sono nei bilanci delle Province purtroppo non sono rinvenibili per pari importo nei bilanci delle Regioni e ciò non può più essere considerata una prassi usuale, soprattutto in vista dell’avvio dell’armonizzazione dei sistemi contabili. La mancata correlazione tra le voci di bilancio degli enti locali (predisposti secondo modalità uniformi stabilite da leggi nazionali) e le voci di bilancio delle Regioni (predisposti in maniera autonoma e non </w:t>
      </w:r>
      <w:r w:rsidR="004F3E81">
        <w:t>confro</w:t>
      </w:r>
      <w:r w:rsidR="008C2F02">
        <w:t>ntabile, neanche tra le regioni</w:t>
      </w:r>
      <w:r w:rsidR="004F3E81">
        <w:t xml:space="preserve"> stesse) ha portato alla paradossale situazione attuale, nella quale, pur a fronte dell’importante strumento offerto dal “decreto legge pagamenti della PA” n.35/12, </w:t>
      </w:r>
      <w:r w:rsidR="004F3E81" w:rsidRPr="00D455B8">
        <w:rPr>
          <w:u w:val="single"/>
        </w:rPr>
        <w:t>le Province ancora non riescono a farsi riconoscere e assegnare i residui attivi da parte delle Regioni</w:t>
      </w:r>
      <w:r w:rsidR="008C2F02">
        <w:t>. Si tratta infatti di risorse indispensabile per completare il pagamento dei debiti alle imprese previsto proprio da tale decreto</w:t>
      </w:r>
      <w:r w:rsidR="004F3E81">
        <w:t xml:space="preserve">. </w:t>
      </w:r>
      <w:r w:rsidR="000E08FB" w:rsidRPr="00D455B8">
        <w:rPr>
          <w:b/>
        </w:rPr>
        <w:t>L’UPI chiede che il Governo attivi uno specifico Tavolo Tecnico dedicato all’esame della questione.</w:t>
      </w:r>
    </w:p>
    <w:p w:rsidR="004F3E81" w:rsidRDefault="004F3E81" w:rsidP="00D455B8">
      <w:pPr>
        <w:pStyle w:val="Paragrafoelenco"/>
        <w:numPr>
          <w:ilvl w:val="0"/>
          <w:numId w:val="3"/>
        </w:numPr>
        <w:jc w:val="both"/>
      </w:pPr>
      <w:r>
        <w:t>Il Governo dovrebbe, in questo senso, farsi garante di quanto previsto dal decreto legislativo n.68/11,</w:t>
      </w:r>
      <w:r w:rsidR="008C2F02">
        <w:t xml:space="preserve"> esercitando il potere sostitutivo previsto dall’art.19 comma 3 della norma in questione, </w:t>
      </w:r>
      <w:r>
        <w:t xml:space="preserve"> laddove si prevedeva, parallelamente a quanto successo a livello nazionale, ad </w:t>
      </w:r>
      <w:r w:rsidRPr="00D455B8">
        <w:rPr>
          <w:b/>
        </w:rPr>
        <w:t xml:space="preserve">una fiscalizzazione dei trasferimenti regionali a valere sulla tassa automobilistica regionale. Il meccanismo doveva entrare a regime in tutto il Paese </w:t>
      </w:r>
      <w:r w:rsidR="000E08FB" w:rsidRPr="00D455B8">
        <w:rPr>
          <w:b/>
        </w:rPr>
        <w:t xml:space="preserve">a partire dal </w:t>
      </w:r>
      <w:r w:rsidRPr="00D455B8">
        <w:rPr>
          <w:b/>
        </w:rPr>
        <w:t>201</w:t>
      </w:r>
      <w:r w:rsidR="000E08FB" w:rsidRPr="00D455B8">
        <w:rPr>
          <w:b/>
        </w:rPr>
        <w:t>3</w:t>
      </w:r>
      <w:r w:rsidRPr="00D455B8">
        <w:rPr>
          <w:b/>
        </w:rPr>
        <w:t xml:space="preserve">, </w:t>
      </w:r>
      <w:r>
        <w:t xml:space="preserve">ma fino ad oggi le Regioni non hanno mai voluto attivare tale meccanismo, l’unico in grado di garantire risorse certe a fronte di funzioni delegate specifiche. Le Province ora si vedono dunque strette nella morsa dell’azzeramento del fondo sperimentale di riequilibrio, da parte dello Stato, e la mancanza di erogazione di risorse da parte delle Regioni. </w:t>
      </w:r>
    </w:p>
    <w:p w:rsidR="004F3E81" w:rsidRDefault="004F3E81" w:rsidP="00D455B8">
      <w:pPr>
        <w:pStyle w:val="Paragrafoelenco"/>
        <w:numPr>
          <w:ilvl w:val="0"/>
          <w:numId w:val="3"/>
        </w:numPr>
        <w:jc w:val="both"/>
      </w:pPr>
      <w:r>
        <w:t xml:space="preserve">Ecco perché, di fronte a questa situazione, </w:t>
      </w:r>
      <w:r w:rsidR="008C2F02">
        <w:t xml:space="preserve">il </w:t>
      </w:r>
      <w:r w:rsidRPr="00D455B8">
        <w:rPr>
          <w:b/>
        </w:rPr>
        <w:t>mancat</w:t>
      </w:r>
      <w:r w:rsidR="008C2F02">
        <w:rPr>
          <w:b/>
        </w:rPr>
        <w:t xml:space="preserve">o pagamento </w:t>
      </w:r>
      <w:r w:rsidRPr="00D455B8">
        <w:rPr>
          <w:b/>
        </w:rPr>
        <w:t xml:space="preserve">da parte dello Stato, dei residui perenti </w:t>
      </w:r>
      <w:r>
        <w:t>derivanti dalla mancata assegnazione – negli anni passati – dei trasferimenti erariali, è diventata una questione diri</w:t>
      </w:r>
      <w:r w:rsidR="008C2F02">
        <w:t>mente per i bilanci provinciali.</w:t>
      </w:r>
    </w:p>
    <w:p w:rsidR="008C2F02" w:rsidRPr="00D85FCB" w:rsidRDefault="008C2F02" w:rsidP="008C2F02">
      <w:pPr>
        <w:pStyle w:val="Paragrafoelenco"/>
        <w:numPr>
          <w:ilvl w:val="0"/>
          <w:numId w:val="3"/>
        </w:numPr>
        <w:ind w:left="714" w:hanging="357"/>
        <w:contextualSpacing w:val="0"/>
        <w:jc w:val="both"/>
      </w:pPr>
      <w:r>
        <w:t xml:space="preserve">Si chiede che si intervenga </w:t>
      </w:r>
      <w:r w:rsidRPr="001824EC">
        <w:rPr>
          <w:b/>
        </w:rPr>
        <w:t>entro brevissimo tempo al saldo del fondo sperimentale 2012</w:t>
      </w:r>
      <w:r>
        <w:t xml:space="preserve">, al </w:t>
      </w:r>
      <w:r w:rsidRPr="001824EC">
        <w:rPr>
          <w:b/>
        </w:rPr>
        <w:t xml:space="preserve">trasferimento delle risorse destinate alla riduzione del debito (100 milioni </w:t>
      </w:r>
      <w:r>
        <w:t xml:space="preserve">previsti dall’art. 17, comma 13 bis del dl 95/12, che le province di fatto hanno anticipato con risorse proprie, portando la riduzione di risorse nel 2012 a 600 milioni anziché 500 come previsto dalla </w:t>
      </w:r>
      <w:proofErr w:type="spellStart"/>
      <w:r>
        <w:t>spending</w:t>
      </w:r>
      <w:proofErr w:type="spellEnd"/>
      <w:r>
        <w:t xml:space="preserve"> </w:t>
      </w:r>
      <w:proofErr w:type="spellStart"/>
      <w:r>
        <w:t>review</w:t>
      </w:r>
      <w:proofErr w:type="spellEnd"/>
      <w:r>
        <w:t xml:space="preserve">, oltre </w:t>
      </w:r>
      <w:r>
        <w:lastRenderedPageBreak/>
        <w:t xml:space="preserve">agli oneri correlati alle penali da corrispondere agli Istituti di Credito che invece per i comuni sono stati posti in carico allo Stato), </w:t>
      </w:r>
      <w:r w:rsidRPr="001824EC">
        <w:rPr>
          <w:b/>
        </w:rPr>
        <w:t>nonché agli opportuni interventi normativi che consentano di garantire alle Province il flusso relativo all’addizionale al tributo ambientale (</w:t>
      </w:r>
      <w:proofErr w:type="spellStart"/>
      <w:r w:rsidRPr="001824EC">
        <w:rPr>
          <w:b/>
        </w:rPr>
        <w:t>tares</w:t>
      </w:r>
      <w:proofErr w:type="spellEnd"/>
      <w:r w:rsidRPr="001824EC">
        <w:rPr>
          <w:b/>
        </w:rPr>
        <w:t>) in questi mesi oggetto di profonda rivisitazione</w:t>
      </w:r>
      <w:r>
        <w:t xml:space="preserve">. A tale riguardo, infatti giova ricordare che il bollettino postale per la riscossione </w:t>
      </w:r>
      <w:proofErr w:type="spellStart"/>
      <w:r>
        <w:t>Tares</w:t>
      </w:r>
      <w:proofErr w:type="spellEnd"/>
      <w:r>
        <w:t xml:space="preserve"> è stato predisposto dal Ministero dell’Economia senza prevedere la specifica voce dell’addizionale provinciale, di fatto impedendo che per tale flusso finanziario fosse istituito un codice tributo dall’Agenzia delle Entrate. Ciò comprometterà un regolare flusso di risorse una volta che i Comuni abbandoneranno </w:t>
      </w:r>
      <w:proofErr w:type="spellStart"/>
      <w:r>
        <w:t>Equitalia</w:t>
      </w:r>
      <w:proofErr w:type="spellEnd"/>
      <w:r>
        <w:t xml:space="preserve"> a fine 2013). </w:t>
      </w:r>
    </w:p>
    <w:p w:rsidR="001824EC" w:rsidRDefault="008C2F02" w:rsidP="008C2F02">
      <w:pPr>
        <w:pStyle w:val="Paragrafoelenco"/>
        <w:numPr>
          <w:ilvl w:val="0"/>
          <w:numId w:val="3"/>
        </w:numPr>
        <w:ind w:left="714" w:hanging="357"/>
        <w:contextualSpacing w:val="0"/>
        <w:jc w:val="both"/>
      </w:pPr>
      <w:r>
        <w:t>Infine o</w:t>
      </w:r>
      <w:r w:rsidR="001824EC">
        <w:t xml:space="preserve">ccorre procedere alla </w:t>
      </w:r>
      <w:r w:rsidR="001824EC" w:rsidRPr="008C2F02">
        <w:rPr>
          <w:b/>
        </w:rPr>
        <w:t xml:space="preserve">riforma dell’IPT </w:t>
      </w:r>
      <w:r w:rsidR="001824EC">
        <w:t xml:space="preserve">(imposta provinciale di trascrizione) come previsto dal </w:t>
      </w:r>
      <w:proofErr w:type="spellStart"/>
      <w:r w:rsidR="001824EC">
        <w:t>dlgs</w:t>
      </w:r>
      <w:proofErr w:type="spellEnd"/>
      <w:r w:rsidR="001824EC">
        <w:t xml:space="preserve"> 68/11: gli ultimi interventi normativi hanno dimostrato come una difforme applicazione delle norme nelle Regioni a Statuto Speciale hanno di fatto consentito a molte società di noleggio, con abuso del diritto, di spostare il gettito dalle Province nelle regioni a statuto ordinario, verso le Province di Trento, Bolzano ed Aosta, mediante apertura di sedi fittizie in questi territori.</w:t>
      </w:r>
    </w:p>
    <w:p w:rsidR="00D85FCB" w:rsidRDefault="00D85FCB" w:rsidP="008F4630">
      <w:pPr>
        <w:jc w:val="center"/>
        <w:rPr>
          <w:b/>
          <w:i/>
        </w:rPr>
      </w:pPr>
    </w:p>
    <w:p w:rsidR="0076275F" w:rsidRDefault="0076275F" w:rsidP="0076275F">
      <w:pPr>
        <w:rPr>
          <w:b/>
          <w:i/>
          <w:u w:val="single"/>
        </w:rPr>
      </w:pPr>
      <w:r w:rsidRPr="0076275F">
        <w:rPr>
          <w:b/>
          <w:i/>
          <w:u w:val="single"/>
        </w:rPr>
        <w:t>Conclusioni</w:t>
      </w:r>
    </w:p>
    <w:p w:rsidR="00562C24" w:rsidRDefault="0076275F" w:rsidP="00562C24">
      <w:pPr>
        <w:jc w:val="both"/>
      </w:pPr>
      <w:r>
        <w:t xml:space="preserve">Queste priorità di intervento impongono che si abbandoni la strada dello stravolgimento delle istituzioni territoriali. </w:t>
      </w:r>
      <w:r w:rsidR="00562C24">
        <w:t xml:space="preserve">Le Province, come tutte le istituzioni pubbliche, devono essere valutate per l’efficacia dei servizi resi ai cittadini e per come utilizzano le risorse pubbliche, per superare l’ingiustizia dei tagli lineari che mette sullo stesso piano chi spreca e chi ha già proceduto ad una razionalizzazione coerente della spesa. </w:t>
      </w:r>
    </w:p>
    <w:p w:rsidR="0076275F" w:rsidRDefault="00562C24" w:rsidP="0076275F">
      <w:pPr>
        <w:jc w:val="both"/>
      </w:pPr>
      <w:r>
        <w:t>Invece, attraverso i</w:t>
      </w:r>
      <w:r w:rsidR="0076275F">
        <w:t xml:space="preserve"> provvedimenti messi in  campo dal Governo Monti, dall’art. 23 del decreto cosiddetto </w:t>
      </w:r>
      <w:proofErr w:type="spellStart"/>
      <w:r w:rsidR="0076275F">
        <w:t>Salvaitalia</w:t>
      </w:r>
      <w:proofErr w:type="spellEnd"/>
      <w:r w:rsidR="002841D3">
        <w:t xml:space="preserve"> agli articoli 17 e 18 della </w:t>
      </w:r>
      <w:proofErr w:type="spellStart"/>
      <w:r w:rsidR="002841D3">
        <w:t>spending</w:t>
      </w:r>
      <w:proofErr w:type="spellEnd"/>
      <w:r w:rsidR="002841D3">
        <w:t xml:space="preserve"> </w:t>
      </w:r>
      <w:proofErr w:type="spellStart"/>
      <w:r w:rsidR="002841D3">
        <w:t>review</w:t>
      </w:r>
      <w:proofErr w:type="spellEnd"/>
      <w:r w:rsidR="002841D3">
        <w:t xml:space="preserve">, sì è voluto fare passare il segnale che dal riordino delle Province si operasse una riqualificazione della spesa. </w:t>
      </w:r>
      <w:r>
        <w:t>I provvedimenti sono naufragati:</w:t>
      </w:r>
      <w:r w:rsidR="002841D3">
        <w:t xml:space="preserve"> il primo per palesi vizi di costituzionalità, il secondo a causa della caduta del Governo Monti prima del completamento</w:t>
      </w:r>
      <w:r>
        <w:t xml:space="preserve"> dell’Iter. In entrambi i casi </w:t>
      </w:r>
      <w:r w:rsidR="002841D3">
        <w:t xml:space="preserve"> nel merito il Parlamento ha evidenziato come da esso sarebbero derivati non risparmi, ma ulteriori aggravi per la spesa pubblica. </w:t>
      </w:r>
    </w:p>
    <w:p w:rsidR="0076275F" w:rsidRDefault="0076275F" w:rsidP="002841D3">
      <w:pPr>
        <w:jc w:val="both"/>
      </w:pPr>
      <w:r>
        <w:t xml:space="preserve">Una vera riforma </w:t>
      </w:r>
      <w:r w:rsidR="002841D3">
        <w:t xml:space="preserve">istituzionale del Paese </w:t>
      </w:r>
      <w:r>
        <w:t xml:space="preserve">passa </w:t>
      </w:r>
      <w:r w:rsidR="002841D3">
        <w:t>da</w:t>
      </w:r>
      <w:r>
        <w:t xml:space="preserve"> un profondo riordino delle istituzioni di area vasta, attraverso la chiara individuazione delle funzioni degli enti territoriali</w:t>
      </w:r>
      <w:r w:rsidRPr="002841D3">
        <w:t>, la</w:t>
      </w:r>
      <w:r w:rsidR="002841D3">
        <w:t xml:space="preserve"> riorganizzazione delle Province e il</w:t>
      </w:r>
      <w:r w:rsidRPr="002841D3">
        <w:t xml:space="preserve"> conseguente</w:t>
      </w:r>
      <w:r>
        <w:t xml:space="preserve"> riordino di tutta l’amministrazione italiana, l’incentivazione dell’associazionismo comunale, la riforma dell’amministrazione statale periferica e il superamento delle strutture e degli enti strumentali statali e regionali che non hanno una diretta legittimazione democratica. </w:t>
      </w:r>
    </w:p>
    <w:p w:rsidR="0076275F" w:rsidRDefault="002841D3" w:rsidP="002841D3">
      <w:pPr>
        <w:jc w:val="both"/>
      </w:pPr>
      <w:r>
        <w:t xml:space="preserve">E’ infatti indubbia la necessità che l’assetto istituzionale del Paese sia costruito prevedendo un ente intermedio, dotato di </w:t>
      </w:r>
      <w:r w:rsidR="0076275F">
        <w:t>chiare fun</w:t>
      </w:r>
      <w:r>
        <w:t xml:space="preserve">zioni di governo di area vasta </w:t>
      </w:r>
      <w:r w:rsidR="0076275F">
        <w:t>che non si sovrappongono a quel</w:t>
      </w:r>
      <w:r>
        <w:t>le di altri livelli di governo,</w:t>
      </w:r>
      <w:r w:rsidR="0076275F">
        <w:t xml:space="preserve"> nell’obiettivo della revisione della spesa pubblica con inva</w:t>
      </w:r>
      <w:r>
        <w:t>rianza dei servizi ai cittadini</w:t>
      </w:r>
      <w:r w:rsidR="0076275F">
        <w:t>.</w:t>
      </w:r>
    </w:p>
    <w:p w:rsidR="0076275F" w:rsidRDefault="0076275F" w:rsidP="002841D3">
      <w:pPr>
        <w:jc w:val="both"/>
      </w:pPr>
      <w:r>
        <w:t>Perché questo obiettivo sia raggiunto, tuttavia, occorre coinvolgere tutti i diversi livelli istituzionali, a partire dall’amministrazione  statale (al centro e in periferia) e regionale, andando a toccare gli sprechi e le rendite nascoste, a partire dai tanti enti, società e strutture di secondo grado, che svolgono funzioni pubbliche senza trasparenza e senza una diretta legittimazione democratica.</w:t>
      </w:r>
      <w:r w:rsidR="002841D3">
        <w:t xml:space="preserve"> </w:t>
      </w:r>
      <w:r>
        <w:t>Solo con un profondo riordino istituzionale, alla fine della recessione, l’Italia potrà infatti avere un’amministrazione più efficiente e leggera che sia in grado di mantenere comunque un adeguato livello di servizi essenziali e di rilanciare gli investimenti per far crescere il Paese.</w:t>
      </w:r>
    </w:p>
    <w:p w:rsidR="0076275F" w:rsidRDefault="0076275F" w:rsidP="0076275F">
      <w:r>
        <w:lastRenderedPageBreak/>
        <w:t>Occorre perciò garantire già nel 2013 una prospettiva coerente e stabile di sviluppo delle istituzioni locali - sia dal punto di vista istituzionale, sia con opportune modifiche del patto di stabilità interno -  che consenta una ripresa degli investimenti nei territori come volano di una ripresa più generale dell’economia italiana.</w:t>
      </w:r>
    </w:p>
    <w:p w:rsidR="0076275F" w:rsidRDefault="0076275F" w:rsidP="002841D3">
      <w:pPr>
        <w:jc w:val="both"/>
      </w:pPr>
      <w:r>
        <w:t>La via maestra per la riforma delle istituzioni provinciali deve tenere conto del ruolo che esse hanno avuto nella storia unitaria del Paese e della necessità di ripensarlo nella prospettiva di un nuovo disegno complessivo delle istituzioni di area vasta coerente con la Costituzione vigente.</w:t>
      </w:r>
    </w:p>
    <w:p w:rsidR="0076275F" w:rsidRDefault="0076275F" w:rsidP="0076275F">
      <w:r>
        <w:t xml:space="preserve">Il riordino delle istituzioni di area vasta dal punto di vista delle funzioni, delle dimensioni e della </w:t>
      </w:r>
      <w:proofErr w:type="spellStart"/>
      <w:r>
        <w:t>governance</w:t>
      </w:r>
      <w:proofErr w:type="spellEnd"/>
      <w:r>
        <w:t xml:space="preserve"> è il presupposto sul quale costruire percorsi di modernizzazione delle amministrazioni territoriali attraverso processi di miglioramento delle performance, di trasparenza e di innovazione organizzativa e tecnologica.</w:t>
      </w:r>
    </w:p>
    <w:p w:rsidR="0076275F" w:rsidRDefault="0076275F" w:rsidP="0076275F">
      <w:bookmarkStart w:id="0" w:name="_GoBack"/>
      <w:bookmarkEnd w:id="0"/>
    </w:p>
    <w:p w:rsidR="0076275F" w:rsidRPr="0076275F" w:rsidRDefault="0076275F"/>
    <w:p w:rsidR="0076275F" w:rsidRPr="0076275F" w:rsidRDefault="0076275F" w:rsidP="0076275F">
      <w:pPr>
        <w:jc w:val="both"/>
      </w:pPr>
    </w:p>
    <w:sectPr w:rsidR="0076275F" w:rsidRPr="0076275F" w:rsidSect="00451267">
      <w:footerReference w:type="defaul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1D3" w:rsidRDefault="002841D3" w:rsidP="00451267">
      <w:pPr>
        <w:spacing w:after="0" w:line="240" w:lineRule="auto"/>
      </w:pPr>
      <w:r>
        <w:separator/>
      </w:r>
    </w:p>
  </w:endnote>
  <w:endnote w:type="continuationSeparator" w:id="0">
    <w:p w:rsidR="002841D3" w:rsidRDefault="002841D3" w:rsidP="0045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720990"/>
      <w:docPartObj>
        <w:docPartGallery w:val="Page Numbers (Bottom of Page)"/>
        <w:docPartUnique/>
      </w:docPartObj>
    </w:sdtPr>
    <w:sdtContent>
      <w:p w:rsidR="002841D3" w:rsidRDefault="002841D3">
        <w:pPr>
          <w:pStyle w:val="Pidipagina"/>
          <w:jc w:val="center"/>
        </w:pPr>
        <w:r>
          <w:fldChar w:fldCharType="begin"/>
        </w:r>
        <w:r>
          <w:instrText>PAGE   \* MERGEFORMAT</w:instrText>
        </w:r>
        <w:r>
          <w:fldChar w:fldCharType="separate"/>
        </w:r>
        <w:r w:rsidR="00562C24">
          <w:rPr>
            <w:noProof/>
          </w:rPr>
          <w:t>10</w:t>
        </w:r>
        <w:r>
          <w:fldChar w:fldCharType="end"/>
        </w:r>
      </w:p>
    </w:sdtContent>
  </w:sdt>
  <w:p w:rsidR="002841D3" w:rsidRDefault="002841D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548488"/>
      <w:docPartObj>
        <w:docPartGallery w:val="Page Numbers (Bottom of Page)"/>
        <w:docPartUnique/>
      </w:docPartObj>
    </w:sdtPr>
    <w:sdtContent>
      <w:p w:rsidR="002841D3" w:rsidRDefault="002841D3">
        <w:pPr>
          <w:pStyle w:val="Pidipagina"/>
          <w:jc w:val="center"/>
        </w:pPr>
        <w:r>
          <w:fldChar w:fldCharType="begin"/>
        </w:r>
        <w:r>
          <w:instrText>PAGE   \* MERGEFORMAT</w:instrText>
        </w:r>
        <w:r>
          <w:fldChar w:fldCharType="separate"/>
        </w:r>
        <w:r>
          <w:rPr>
            <w:noProof/>
          </w:rPr>
          <w:t>1</w:t>
        </w:r>
        <w:r>
          <w:fldChar w:fldCharType="end"/>
        </w:r>
      </w:p>
    </w:sdtContent>
  </w:sdt>
  <w:p w:rsidR="002841D3" w:rsidRDefault="002841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1D3" w:rsidRDefault="002841D3" w:rsidP="00451267">
      <w:pPr>
        <w:spacing w:after="0" w:line="240" w:lineRule="auto"/>
      </w:pPr>
      <w:r>
        <w:separator/>
      </w:r>
    </w:p>
  </w:footnote>
  <w:footnote w:type="continuationSeparator" w:id="0">
    <w:p w:rsidR="002841D3" w:rsidRDefault="002841D3" w:rsidP="00451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05597"/>
    <w:multiLevelType w:val="hybridMultilevel"/>
    <w:tmpl w:val="57D8672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9810206"/>
    <w:multiLevelType w:val="hybridMultilevel"/>
    <w:tmpl w:val="57D8672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F4A41B8"/>
    <w:multiLevelType w:val="hybridMultilevel"/>
    <w:tmpl w:val="57D8672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B97132E"/>
    <w:multiLevelType w:val="hybridMultilevel"/>
    <w:tmpl w:val="FA30CFB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44754D"/>
    <w:multiLevelType w:val="hybridMultilevel"/>
    <w:tmpl w:val="57D86728"/>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92758B1"/>
    <w:multiLevelType w:val="hybridMultilevel"/>
    <w:tmpl w:val="B42C9C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C67"/>
    <w:rsid w:val="0002226D"/>
    <w:rsid w:val="000405AC"/>
    <w:rsid w:val="000828A1"/>
    <w:rsid w:val="000E08FB"/>
    <w:rsid w:val="000E49B0"/>
    <w:rsid w:val="00155868"/>
    <w:rsid w:val="001824EC"/>
    <w:rsid w:val="00270281"/>
    <w:rsid w:val="00280C67"/>
    <w:rsid w:val="0028367A"/>
    <w:rsid w:val="002841D3"/>
    <w:rsid w:val="0033006E"/>
    <w:rsid w:val="00380501"/>
    <w:rsid w:val="00386C29"/>
    <w:rsid w:val="003929DD"/>
    <w:rsid w:val="003975FB"/>
    <w:rsid w:val="004405ED"/>
    <w:rsid w:val="00451267"/>
    <w:rsid w:val="00454B34"/>
    <w:rsid w:val="004C6586"/>
    <w:rsid w:val="004F002B"/>
    <w:rsid w:val="004F3E81"/>
    <w:rsid w:val="004F7DBE"/>
    <w:rsid w:val="00562C24"/>
    <w:rsid w:val="00566C81"/>
    <w:rsid w:val="00623004"/>
    <w:rsid w:val="0066560A"/>
    <w:rsid w:val="007107A6"/>
    <w:rsid w:val="0076275F"/>
    <w:rsid w:val="007B4A1A"/>
    <w:rsid w:val="008244D4"/>
    <w:rsid w:val="00873738"/>
    <w:rsid w:val="00875FAD"/>
    <w:rsid w:val="008C2F02"/>
    <w:rsid w:val="008F4630"/>
    <w:rsid w:val="009452AE"/>
    <w:rsid w:val="00A81905"/>
    <w:rsid w:val="00AF4942"/>
    <w:rsid w:val="00B9271C"/>
    <w:rsid w:val="00BA2D7A"/>
    <w:rsid w:val="00C034AC"/>
    <w:rsid w:val="00CB61C4"/>
    <w:rsid w:val="00CE1AE3"/>
    <w:rsid w:val="00CF0F49"/>
    <w:rsid w:val="00D455B8"/>
    <w:rsid w:val="00D85FCB"/>
    <w:rsid w:val="00DF5844"/>
    <w:rsid w:val="00E35EE9"/>
    <w:rsid w:val="00E5022D"/>
    <w:rsid w:val="00EA7DAC"/>
    <w:rsid w:val="00ED70FC"/>
    <w:rsid w:val="00F22182"/>
    <w:rsid w:val="00F818BE"/>
    <w:rsid w:val="00FC73D6"/>
    <w:rsid w:val="00FE4F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80C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405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05AC"/>
    <w:rPr>
      <w:rFonts w:ascii="Tahoma" w:hAnsi="Tahoma" w:cs="Tahoma"/>
      <w:sz w:val="16"/>
      <w:szCs w:val="16"/>
    </w:rPr>
  </w:style>
  <w:style w:type="paragraph" w:styleId="Paragrafoelenco">
    <w:name w:val="List Paragraph"/>
    <w:basedOn w:val="Normale"/>
    <w:uiPriority w:val="34"/>
    <w:qFormat/>
    <w:rsid w:val="00454B34"/>
    <w:pPr>
      <w:ind w:left="720"/>
      <w:contextualSpacing/>
    </w:pPr>
  </w:style>
  <w:style w:type="paragraph" w:styleId="Intestazione">
    <w:name w:val="header"/>
    <w:basedOn w:val="Normale"/>
    <w:link w:val="IntestazioneCarattere"/>
    <w:uiPriority w:val="99"/>
    <w:unhideWhenUsed/>
    <w:rsid w:val="004512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1267"/>
  </w:style>
  <w:style w:type="paragraph" w:styleId="Pidipagina">
    <w:name w:val="footer"/>
    <w:basedOn w:val="Normale"/>
    <w:link w:val="PidipaginaCarattere"/>
    <w:uiPriority w:val="99"/>
    <w:unhideWhenUsed/>
    <w:rsid w:val="004512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1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80C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405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05AC"/>
    <w:rPr>
      <w:rFonts w:ascii="Tahoma" w:hAnsi="Tahoma" w:cs="Tahoma"/>
      <w:sz w:val="16"/>
      <w:szCs w:val="16"/>
    </w:rPr>
  </w:style>
  <w:style w:type="paragraph" w:styleId="Paragrafoelenco">
    <w:name w:val="List Paragraph"/>
    <w:basedOn w:val="Normale"/>
    <w:uiPriority w:val="34"/>
    <w:qFormat/>
    <w:rsid w:val="00454B34"/>
    <w:pPr>
      <w:ind w:left="720"/>
      <w:contextualSpacing/>
    </w:pPr>
  </w:style>
  <w:style w:type="paragraph" w:styleId="Intestazione">
    <w:name w:val="header"/>
    <w:basedOn w:val="Normale"/>
    <w:link w:val="IntestazioneCarattere"/>
    <w:uiPriority w:val="99"/>
    <w:unhideWhenUsed/>
    <w:rsid w:val="004512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1267"/>
  </w:style>
  <w:style w:type="paragraph" w:styleId="Pidipagina">
    <w:name w:val="footer"/>
    <w:basedOn w:val="Normale"/>
    <w:link w:val="PidipaginaCarattere"/>
    <w:uiPriority w:val="99"/>
    <w:unhideWhenUsed/>
    <w:rsid w:val="004512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6777">
      <w:bodyDiv w:val="1"/>
      <w:marLeft w:val="0"/>
      <w:marRight w:val="0"/>
      <w:marTop w:val="0"/>
      <w:marBottom w:val="0"/>
      <w:divBdr>
        <w:top w:val="none" w:sz="0" w:space="0" w:color="auto"/>
        <w:left w:val="none" w:sz="0" w:space="0" w:color="auto"/>
        <w:bottom w:val="none" w:sz="0" w:space="0" w:color="auto"/>
        <w:right w:val="none" w:sz="0" w:space="0" w:color="auto"/>
      </w:divBdr>
    </w:div>
    <w:div w:id="300615963">
      <w:bodyDiv w:val="1"/>
      <w:marLeft w:val="0"/>
      <w:marRight w:val="0"/>
      <w:marTop w:val="0"/>
      <w:marBottom w:val="0"/>
      <w:divBdr>
        <w:top w:val="none" w:sz="0" w:space="0" w:color="auto"/>
        <w:left w:val="none" w:sz="0" w:space="0" w:color="auto"/>
        <w:bottom w:val="none" w:sz="0" w:space="0" w:color="auto"/>
        <w:right w:val="none" w:sz="0" w:space="0" w:color="auto"/>
      </w:divBdr>
    </w:div>
    <w:div w:id="421993096">
      <w:bodyDiv w:val="1"/>
      <w:marLeft w:val="0"/>
      <w:marRight w:val="0"/>
      <w:marTop w:val="0"/>
      <w:marBottom w:val="0"/>
      <w:divBdr>
        <w:top w:val="none" w:sz="0" w:space="0" w:color="auto"/>
        <w:left w:val="none" w:sz="0" w:space="0" w:color="auto"/>
        <w:bottom w:val="none" w:sz="0" w:space="0" w:color="auto"/>
        <w:right w:val="none" w:sz="0" w:space="0" w:color="auto"/>
      </w:divBdr>
    </w:div>
    <w:div w:id="431440352">
      <w:bodyDiv w:val="1"/>
      <w:marLeft w:val="0"/>
      <w:marRight w:val="0"/>
      <w:marTop w:val="0"/>
      <w:marBottom w:val="0"/>
      <w:divBdr>
        <w:top w:val="none" w:sz="0" w:space="0" w:color="auto"/>
        <w:left w:val="none" w:sz="0" w:space="0" w:color="auto"/>
        <w:bottom w:val="none" w:sz="0" w:space="0" w:color="auto"/>
        <w:right w:val="none" w:sz="0" w:space="0" w:color="auto"/>
      </w:divBdr>
    </w:div>
    <w:div w:id="562376325">
      <w:bodyDiv w:val="1"/>
      <w:marLeft w:val="0"/>
      <w:marRight w:val="0"/>
      <w:marTop w:val="0"/>
      <w:marBottom w:val="0"/>
      <w:divBdr>
        <w:top w:val="none" w:sz="0" w:space="0" w:color="auto"/>
        <w:left w:val="none" w:sz="0" w:space="0" w:color="auto"/>
        <w:bottom w:val="none" w:sz="0" w:space="0" w:color="auto"/>
        <w:right w:val="none" w:sz="0" w:space="0" w:color="auto"/>
      </w:divBdr>
    </w:div>
    <w:div w:id="632636577">
      <w:bodyDiv w:val="1"/>
      <w:marLeft w:val="0"/>
      <w:marRight w:val="0"/>
      <w:marTop w:val="0"/>
      <w:marBottom w:val="0"/>
      <w:divBdr>
        <w:top w:val="none" w:sz="0" w:space="0" w:color="auto"/>
        <w:left w:val="none" w:sz="0" w:space="0" w:color="auto"/>
        <w:bottom w:val="none" w:sz="0" w:space="0" w:color="auto"/>
        <w:right w:val="none" w:sz="0" w:space="0" w:color="auto"/>
      </w:divBdr>
    </w:div>
    <w:div w:id="1090658530">
      <w:bodyDiv w:val="1"/>
      <w:marLeft w:val="0"/>
      <w:marRight w:val="0"/>
      <w:marTop w:val="0"/>
      <w:marBottom w:val="0"/>
      <w:divBdr>
        <w:top w:val="none" w:sz="0" w:space="0" w:color="auto"/>
        <w:left w:val="none" w:sz="0" w:space="0" w:color="auto"/>
        <w:bottom w:val="none" w:sz="0" w:space="0" w:color="auto"/>
        <w:right w:val="none" w:sz="0" w:space="0" w:color="auto"/>
      </w:divBdr>
    </w:div>
    <w:div w:id="1300959677">
      <w:bodyDiv w:val="1"/>
      <w:marLeft w:val="0"/>
      <w:marRight w:val="0"/>
      <w:marTop w:val="0"/>
      <w:marBottom w:val="0"/>
      <w:divBdr>
        <w:top w:val="none" w:sz="0" w:space="0" w:color="auto"/>
        <w:left w:val="none" w:sz="0" w:space="0" w:color="auto"/>
        <w:bottom w:val="none" w:sz="0" w:space="0" w:color="auto"/>
        <w:right w:val="none" w:sz="0" w:space="0" w:color="auto"/>
      </w:divBdr>
    </w:div>
    <w:div w:id="1552889163">
      <w:bodyDiv w:val="1"/>
      <w:marLeft w:val="0"/>
      <w:marRight w:val="0"/>
      <w:marTop w:val="0"/>
      <w:marBottom w:val="0"/>
      <w:divBdr>
        <w:top w:val="none" w:sz="0" w:space="0" w:color="auto"/>
        <w:left w:val="none" w:sz="0" w:space="0" w:color="auto"/>
        <w:bottom w:val="none" w:sz="0" w:space="0" w:color="auto"/>
        <w:right w:val="none" w:sz="0" w:space="0" w:color="auto"/>
      </w:divBdr>
    </w:div>
    <w:div w:id="1569074016">
      <w:bodyDiv w:val="1"/>
      <w:marLeft w:val="0"/>
      <w:marRight w:val="0"/>
      <w:marTop w:val="0"/>
      <w:marBottom w:val="0"/>
      <w:divBdr>
        <w:top w:val="none" w:sz="0" w:space="0" w:color="auto"/>
        <w:left w:val="none" w:sz="0" w:space="0" w:color="auto"/>
        <w:bottom w:val="none" w:sz="0" w:space="0" w:color="auto"/>
        <w:right w:val="none" w:sz="0" w:space="0" w:color="auto"/>
      </w:divBdr>
    </w:div>
    <w:div w:id="1667631497">
      <w:bodyDiv w:val="1"/>
      <w:marLeft w:val="0"/>
      <w:marRight w:val="0"/>
      <w:marTop w:val="0"/>
      <w:marBottom w:val="0"/>
      <w:divBdr>
        <w:top w:val="none" w:sz="0" w:space="0" w:color="auto"/>
        <w:left w:val="none" w:sz="0" w:space="0" w:color="auto"/>
        <w:bottom w:val="none" w:sz="0" w:space="0" w:color="auto"/>
        <w:right w:val="none" w:sz="0" w:space="0" w:color="auto"/>
      </w:divBdr>
    </w:div>
    <w:div w:id="20205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3358</Words>
  <Characters>19144</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Unione Province D'Italia</Company>
  <LinksUpToDate>false</LinksUpToDate>
  <CharactersWithSpaces>22458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Perluigi</dc:creator>
  <cp:lastModifiedBy>Barbara Perluigi</cp:lastModifiedBy>
  <cp:revision>4</cp:revision>
  <cp:lastPrinted>2013-06-27T10:41:00Z</cp:lastPrinted>
  <dcterms:created xsi:type="dcterms:W3CDTF">2013-06-28T10:37:00Z</dcterms:created>
  <dcterms:modified xsi:type="dcterms:W3CDTF">2013-07-01T09:03:00Z</dcterms:modified>
</cp:coreProperties>
</file>